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Pr>
        <w:rPr>
          <w:rFonts w:ascii="Arial" w:hAnsi="Arial" w:cs="Arial"/>
        </w:rPr>
      </w:pPr>
    </w:p>
    <w:p w:rsidR="00C62CAA" w:rsidRPr="001D4131" w:rsidRDefault="00C62CAA" w:rsidP="005C6E7A">
      <w:pPr>
        <w:rPr>
          <w:rFonts w:ascii="Arial" w:hAnsi="Arial" w:cs="Arial"/>
        </w:rPr>
      </w:pPr>
    </w:p>
    <w:p w:rsidR="00663B29" w:rsidRDefault="00663B29"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QUESTION 1:</w:t>
      </w:r>
    </w:p>
    <w:p w:rsidR="00CF542E" w:rsidRDefault="00CF542E" w:rsidP="00CF542E">
      <w:pPr>
        <w:pStyle w:val="ListParagraph"/>
        <w:spacing w:before="0" w:beforeAutospacing="0" w:after="0" w:afterAutospacing="0"/>
        <w:rPr>
          <w:rFonts w:ascii="Arial" w:hAnsi="Arial" w:cs="Arial"/>
        </w:rPr>
      </w:pPr>
    </w:p>
    <w:p w:rsidR="00CF542E" w:rsidRPr="00A5194E" w:rsidRDefault="00CF542E" w:rsidP="00CF542E">
      <w:pPr>
        <w:pStyle w:val="ListParagraph"/>
        <w:spacing w:before="0" w:beforeAutospacing="0" w:after="0" w:afterAutospacing="0"/>
        <w:rPr>
          <w:rFonts w:ascii="Arial" w:hAnsi="Arial" w:cs="Arial"/>
        </w:rPr>
      </w:pPr>
      <w:r w:rsidRPr="00A5194E">
        <w:rPr>
          <w:rFonts w:ascii="Arial" w:hAnsi="Arial" w:cs="Arial"/>
        </w:rPr>
        <w:t xml:space="preserve">Please provide copies of FERC Form 2 for SoCalGas and SDG&amp;E for 2013 and 2014.  </w:t>
      </w:r>
    </w:p>
    <w:p w:rsidR="00924832" w:rsidRPr="0031141C" w:rsidRDefault="00924832" w:rsidP="00CF542E">
      <w:pPr>
        <w:rPr>
          <w:rFonts w:ascii="Arial" w:hAnsi="Arial" w:cs="Arial"/>
        </w:rPr>
      </w:pPr>
    </w:p>
    <w:p w:rsidR="0031141C" w:rsidRDefault="0031141C" w:rsidP="00CF542E">
      <w:pPr>
        <w:rPr>
          <w:rFonts w:ascii="Arial" w:hAnsi="Arial" w:cs="Arial"/>
          <w:b/>
          <w:u w:val="single"/>
        </w:rPr>
      </w:pPr>
    </w:p>
    <w:p w:rsidR="00F759E8" w:rsidRPr="00F759E8" w:rsidRDefault="00F759E8" w:rsidP="00CF542E">
      <w:pPr>
        <w:rPr>
          <w:rFonts w:ascii="Arial" w:hAnsi="Arial" w:cs="Arial"/>
          <w:b/>
          <w:u w:val="single"/>
        </w:rPr>
      </w:pPr>
      <w:r w:rsidRPr="00F759E8">
        <w:rPr>
          <w:rFonts w:ascii="Arial" w:hAnsi="Arial" w:cs="Arial"/>
          <w:b/>
          <w:u w:val="single"/>
        </w:rPr>
        <w:t>RESPONSE 1:</w:t>
      </w:r>
    </w:p>
    <w:p w:rsidR="006B5580" w:rsidRDefault="006B5580" w:rsidP="005C6E7A">
      <w:pPr>
        <w:rPr>
          <w:rFonts w:ascii="Arial" w:hAnsi="Arial" w:cs="Arial"/>
          <w:sz w:val="28"/>
          <w:szCs w:val="28"/>
        </w:rPr>
      </w:pPr>
    </w:p>
    <w:p w:rsidR="00F67377" w:rsidRPr="00414383" w:rsidRDefault="00414383" w:rsidP="00F67377">
      <w:pPr>
        <w:rPr>
          <w:rFonts w:ascii="Arial" w:hAnsi="Arial" w:cs="Arial"/>
        </w:rPr>
      </w:pPr>
      <w:r>
        <w:rPr>
          <w:rFonts w:ascii="Arial" w:hAnsi="Arial" w:cs="Arial"/>
        </w:rPr>
        <w:t>Due to their size, the requested FERC Forms have been provided separately.</w:t>
      </w:r>
    </w:p>
    <w:p w:rsidR="00A85689" w:rsidRDefault="00F67377" w:rsidP="004C0B63">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2</w:t>
      </w:r>
      <w:r w:rsidRPr="00F759E8">
        <w:rPr>
          <w:rFonts w:ascii="Arial" w:hAnsi="Arial" w:cs="Arial"/>
          <w:b/>
          <w:u w:val="single"/>
        </w:rPr>
        <w:t>:</w:t>
      </w:r>
    </w:p>
    <w:p w:rsidR="005F4287" w:rsidRDefault="005F4287" w:rsidP="00F67377">
      <w:pPr>
        <w:rPr>
          <w:rFonts w:ascii="Arial" w:hAnsi="Arial" w:cs="Arial"/>
        </w:rPr>
      </w:pPr>
    </w:p>
    <w:p w:rsidR="00CF542E" w:rsidRDefault="00CF542E" w:rsidP="00CF542E">
      <w:pPr>
        <w:pStyle w:val="ListParagraph"/>
        <w:spacing w:before="0" w:beforeAutospacing="0" w:after="200" w:afterAutospacing="0" w:line="276" w:lineRule="auto"/>
        <w:contextualSpacing/>
        <w:rPr>
          <w:rFonts w:ascii="Arial" w:hAnsi="Arial" w:cs="Arial"/>
        </w:rPr>
      </w:pPr>
      <w:r w:rsidRPr="00A5194E">
        <w:rPr>
          <w:rFonts w:ascii="Arial" w:hAnsi="Arial" w:cs="Arial"/>
        </w:rPr>
        <w:t xml:space="preserve">Please provide additional information regarding the gas summary of earnings table included as page 335 of the SDG&amp;E settlement comparison exhibit for Test Year 2016 in A.14-11-003/-004. </w:t>
      </w:r>
    </w:p>
    <w:p w:rsidR="00BC332F" w:rsidRPr="00A5194E" w:rsidRDefault="00BC332F" w:rsidP="00CF542E">
      <w:pPr>
        <w:pStyle w:val="ListParagraph"/>
        <w:spacing w:before="0" w:beforeAutospacing="0" w:after="200" w:afterAutospacing="0" w:line="276" w:lineRule="auto"/>
        <w:contextualSpacing/>
        <w:rPr>
          <w:rFonts w:ascii="Arial" w:hAnsi="Arial" w:cs="Arial"/>
        </w:rPr>
      </w:pPr>
    </w:p>
    <w:p w:rsidR="00CF542E" w:rsidRPr="00A5194E" w:rsidRDefault="00CF542E" w:rsidP="000F55F5">
      <w:pPr>
        <w:pStyle w:val="ListParagraph"/>
        <w:numPr>
          <w:ilvl w:val="1"/>
          <w:numId w:val="1"/>
        </w:numPr>
        <w:spacing w:before="0" w:beforeAutospacing="0" w:after="200" w:afterAutospacing="0" w:line="276" w:lineRule="auto"/>
        <w:ind w:hanging="720"/>
        <w:contextualSpacing/>
        <w:rPr>
          <w:rFonts w:ascii="Arial" w:hAnsi="Arial" w:cs="Arial"/>
        </w:rPr>
      </w:pPr>
      <w:r w:rsidRPr="00A5194E">
        <w:rPr>
          <w:rFonts w:ascii="Arial" w:hAnsi="Arial" w:cs="Arial"/>
        </w:rPr>
        <w:t>If an alignment of settlement expenses by FERC account has been prepared, please provide it. If not, answer parts c, d, e and f.</w:t>
      </w:r>
    </w:p>
    <w:p w:rsidR="00CF542E" w:rsidRPr="00A5194E" w:rsidRDefault="00CF542E" w:rsidP="000F55F5">
      <w:pPr>
        <w:pStyle w:val="ListParagraph"/>
        <w:numPr>
          <w:ilvl w:val="1"/>
          <w:numId w:val="1"/>
        </w:numPr>
        <w:spacing w:before="0" w:beforeAutospacing="0" w:after="200" w:afterAutospacing="0" w:line="276" w:lineRule="auto"/>
        <w:ind w:left="0" w:firstLine="0"/>
        <w:contextualSpacing/>
        <w:rPr>
          <w:rFonts w:ascii="Arial" w:hAnsi="Arial" w:cs="Arial"/>
        </w:rPr>
      </w:pPr>
      <w:r w:rsidRPr="00A5194E">
        <w:rPr>
          <w:rFonts w:ascii="Arial" w:hAnsi="Arial" w:cs="Arial"/>
        </w:rPr>
        <w:t>Divide O&amp;M expenses by function into labor and non-labor costs.</w:t>
      </w:r>
    </w:p>
    <w:p w:rsidR="00CF542E" w:rsidRPr="00A5194E" w:rsidRDefault="00CF542E" w:rsidP="000F55F5">
      <w:pPr>
        <w:pStyle w:val="ListParagraph"/>
        <w:numPr>
          <w:ilvl w:val="1"/>
          <w:numId w:val="1"/>
        </w:numPr>
        <w:spacing w:before="0" w:beforeAutospacing="0" w:after="200" w:afterAutospacing="0" w:line="276" w:lineRule="auto"/>
        <w:ind w:hanging="720"/>
        <w:contextualSpacing/>
        <w:rPr>
          <w:rFonts w:ascii="Arial" w:hAnsi="Arial" w:cs="Arial"/>
        </w:rPr>
      </w:pPr>
      <w:r w:rsidRPr="00A5194E">
        <w:rPr>
          <w:rFonts w:ascii="Arial" w:hAnsi="Arial" w:cs="Arial"/>
        </w:rPr>
        <w:t>Divide Support Services and Information Technology expenses by function (transmission, storage, distribution, customer, A&amp;G).</w:t>
      </w:r>
    </w:p>
    <w:p w:rsidR="00CF542E" w:rsidRPr="00A5194E" w:rsidRDefault="00CF542E" w:rsidP="000F55F5">
      <w:pPr>
        <w:pStyle w:val="ListParagraph"/>
        <w:numPr>
          <w:ilvl w:val="1"/>
          <w:numId w:val="1"/>
        </w:numPr>
        <w:spacing w:before="0" w:beforeAutospacing="0" w:after="200" w:afterAutospacing="0" w:line="276" w:lineRule="auto"/>
        <w:ind w:left="0" w:firstLine="0"/>
        <w:contextualSpacing/>
        <w:rPr>
          <w:rFonts w:ascii="Arial" w:hAnsi="Arial" w:cs="Arial"/>
        </w:rPr>
      </w:pPr>
      <w:r w:rsidRPr="00A5194E">
        <w:rPr>
          <w:rFonts w:ascii="Arial" w:hAnsi="Arial" w:cs="Arial"/>
        </w:rPr>
        <w:t>Divide shared services adjustments by function.</w:t>
      </w:r>
    </w:p>
    <w:p w:rsidR="00CF542E" w:rsidRPr="00A5194E" w:rsidRDefault="00CF542E" w:rsidP="000F55F5">
      <w:pPr>
        <w:pStyle w:val="ListParagraph"/>
        <w:numPr>
          <w:ilvl w:val="1"/>
          <w:numId w:val="1"/>
        </w:numPr>
        <w:spacing w:before="0" w:beforeAutospacing="0" w:after="200" w:afterAutospacing="0" w:line="276" w:lineRule="auto"/>
        <w:ind w:left="0" w:firstLine="0"/>
        <w:contextualSpacing/>
        <w:rPr>
          <w:rFonts w:ascii="Arial" w:hAnsi="Arial" w:cs="Arial"/>
        </w:rPr>
      </w:pPr>
      <w:r w:rsidRPr="00A5194E">
        <w:rPr>
          <w:rFonts w:ascii="Arial" w:hAnsi="Arial" w:cs="Arial"/>
        </w:rPr>
        <w:t>Divide reassignments by function.</w:t>
      </w:r>
    </w:p>
    <w:p w:rsidR="00CF542E" w:rsidRPr="00A5194E" w:rsidRDefault="00CF542E" w:rsidP="000F55F5">
      <w:pPr>
        <w:pStyle w:val="ListParagraph"/>
        <w:numPr>
          <w:ilvl w:val="1"/>
          <w:numId w:val="1"/>
        </w:numPr>
        <w:spacing w:before="0" w:beforeAutospacing="0" w:after="200" w:afterAutospacing="0" w:line="276" w:lineRule="auto"/>
        <w:ind w:hanging="720"/>
        <w:contextualSpacing/>
        <w:rPr>
          <w:rFonts w:ascii="Arial" w:hAnsi="Arial" w:cs="Arial"/>
        </w:rPr>
      </w:pPr>
      <w:r w:rsidRPr="00A5194E">
        <w:rPr>
          <w:rFonts w:ascii="Arial" w:hAnsi="Arial" w:cs="Arial"/>
        </w:rPr>
        <w:t>Divide A&amp;G expenses into insurance, pensions and benefits, and other A&amp;G expenses separately stated by function (e.g., transmission, distribution, customer accounts, customer service, A&amp;G), and into labor and non-labor.</w:t>
      </w:r>
    </w:p>
    <w:p w:rsidR="00CF542E" w:rsidRPr="00A5194E" w:rsidRDefault="00CF542E" w:rsidP="000F55F5">
      <w:pPr>
        <w:pStyle w:val="ListParagraph"/>
        <w:numPr>
          <w:ilvl w:val="1"/>
          <w:numId w:val="1"/>
        </w:numPr>
        <w:spacing w:before="0" w:beforeAutospacing="0" w:after="200" w:afterAutospacing="0" w:line="276" w:lineRule="auto"/>
        <w:ind w:hanging="720"/>
        <w:contextualSpacing/>
        <w:rPr>
          <w:rFonts w:ascii="Arial" w:hAnsi="Arial" w:cs="Arial"/>
        </w:rPr>
      </w:pPr>
      <w:r w:rsidRPr="00A5194E">
        <w:rPr>
          <w:rFonts w:ascii="Arial" w:hAnsi="Arial" w:cs="Arial"/>
        </w:rPr>
        <w:t>Divide depreciation expenses by function (transmission, storage, distribution, and common and general plant).</w:t>
      </w:r>
    </w:p>
    <w:p w:rsidR="00CF542E" w:rsidRPr="00A5194E" w:rsidRDefault="00CF542E" w:rsidP="000F55F5">
      <w:pPr>
        <w:pStyle w:val="ListParagraph"/>
        <w:numPr>
          <w:ilvl w:val="1"/>
          <w:numId w:val="1"/>
        </w:numPr>
        <w:spacing w:before="0" w:beforeAutospacing="0" w:after="200" w:afterAutospacing="0" w:line="276" w:lineRule="auto"/>
        <w:ind w:left="0" w:firstLine="0"/>
        <w:contextualSpacing/>
        <w:rPr>
          <w:rFonts w:ascii="Arial" w:hAnsi="Arial" w:cs="Arial"/>
        </w:rPr>
      </w:pPr>
      <w:r w:rsidRPr="00A5194E">
        <w:rPr>
          <w:rFonts w:ascii="Arial" w:hAnsi="Arial" w:cs="Arial"/>
        </w:rPr>
        <w:t>Divide taxes other than income into property-related taxes and labor-related taxes.</w:t>
      </w:r>
    </w:p>
    <w:p w:rsidR="005F4287" w:rsidRPr="0031141C" w:rsidRDefault="00CF542E" w:rsidP="000F55F5">
      <w:pPr>
        <w:numPr>
          <w:ilvl w:val="0"/>
          <w:numId w:val="2"/>
        </w:numPr>
        <w:ind w:left="720"/>
        <w:rPr>
          <w:rFonts w:ascii="Arial" w:hAnsi="Arial" w:cs="Arial"/>
        </w:rPr>
      </w:pPr>
      <w:r w:rsidRPr="00A5194E">
        <w:rPr>
          <w:rFonts w:ascii="Arial" w:hAnsi="Arial" w:cs="Arial"/>
        </w:rPr>
        <w:t xml:space="preserve">Provide the components of rate base.  Separately provide gross plant, depreciation reserve and net plant, divided into transmission, storage, distribution, and common and general plant, as well as other components of rate base not differentiated by function (materials and supplies, customer advances for construction, accumulated deferred income taxes, </w:t>
      </w:r>
      <w:proofErr w:type="gramStart"/>
      <w:r w:rsidRPr="00A5194E">
        <w:rPr>
          <w:rFonts w:ascii="Arial" w:hAnsi="Arial" w:cs="Arial"/>
        </w:rPr>
        <w:t>cash</w:t>
      </w:r>
      <w:proofErr w:type="gramEnd"/>
      <w:r w:rsidRPr="00A5194E">
        <w:rPr>
          <w:rFonts w:ascii="Arial" w:hAnsi="Arial" w:cs="Arial"/>
        </w:rPr>
        <w:t xml:space="preserve"> working capital).</w:t>
      </w:r>
    </w:p>
    <w:p w:rsidR="00582C14" w:rsidRPr="0031141C" w:rsidRDefault="00582C14" w:rsidP="00F67377">
      <w:pPr>
        <w:rPr>
          <w:rFonts w:ascii="Arial" w:hAnsi="Arial" w:cs="Arial"/>
          <w:b/>
        </w:rPr>
      </w:pPr>
    </w:p>
    <w:p w:rsidR="00CF542E" w:rsidRDefault="00CF542E"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C45605" w:rsidP="005C6E7A">
      <w:pPr>
        <w:rPr>
          <w:rFonts w:ascii="Arial" w:hAnsi="Arial" w:cs="Arial"/>
          <w:sz w:val="28"/>
          <w:szCs w:val="28"/>
        </w:rPr>
      </w:pPr>
      <w:r>
        <w:rPr>
          <w:rFonts w:ascii="Arial" w:hAnsi="Arial" w:cs="Arial"/>
        </w:rPr>
        <w:t>Because</w:t>
      </w:r>
      <w:r w:rsidR="00414383">
        <w:rPr>
          <w:rFonts w:ascii="Arial" w:hAnsi="Arial" w:cs="Arial"/>
        </w:rPr>
        <w:t xml:space="preserve"> O&amp;M</w:t>
      </w:r>
      <w:r w:rsidR="00414383" w:rsidRPr="00C81C3F">
        <w:rPr>
          <w:rFonts w:ascii="Arial" w:hAnsi="Arial" w:cs="Arial"/>
        </w:rPr>
        <w:t xml:space="preserve"> functional labor costs for Test Year 2016 are not shown in the above referenced exhibit, the corresponding functional allocation factors </w:t>
      </w:r>
      <w:r w:rsidR="00414383">
        <w:rPr>
          <w:rFonts w:ascii="Arial" w:hAnsi="Arial" w:cs="Arial"/>
        </w:rPr>
        <w:t>are not available to calculate responses to this request.</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CF542E" w:rsidRDefault="00CF542E" w:rsidP="00CF542E">
      <w:pPr>
        <w:rPr>
          <w:rFonts w:ascii="Arial" w:hAnsi="Arial" w:cs="Arial"/>
        </w:rPr>
      </w:pPr>
      <w:r w:rsidRPr="00CF542E">
        <w:rPr>
          <w:rFonts w:ascii="Arial" w:hAnsi="Arial" w:cs="Arial"/>
        </w:rPr>
        <w:t>Please provide additional information regarding the summary of earnings table included as page 283 of the SoCalGas settlement comparison exhibit for Test Year 2016 in A.14-11-003/-004.</w:t>
      </w:r>
    </w:p>
    <w:p w:rsidR="00CF542E" w:rsidRPr="00CF542E" w:rsidRDefault="00CF542E" w:rsidP="00CF542E">
      <w:pPr>
        <w:rPr>
          <w:rFonts w:ascii="Arial" w:hAnsi="Arial" w:cs="Arial"/>
        </w:rPr>
      </w:pPr>
    </w:p>
    <w:p w:rsidR="00CF542E" w:rsidRPr="00CF542E" w:rsidRDefault="00CF542E" w:rsidP="00CF542E">
      <w:pPr>
        <w:ind w:left="720" w:hanging="720"/>
        <w:rPr>
          <w:rFonts w:ascii="Arial" w:hAnsi="Arial" w:cs="Arial"/>
        </w:rPr>
      </w:pPr>
      <w:r w:rsidRPr="00CF542E">
        <w:rPr>
          <w:rFonts w:ascii="Arial" w:hAnsi="Arial" w:cs="Arial"/>
        </w:rPr>
        <w:t>a)</w:t>
      </w:r>
      <w:r w:rsidRPr="00CF542E">
        <w:rPr>
          <w:rFonts w:ascii="Arial" w:hAnsi="Arial" w:cs="Arial"/>
        </w:rPr>
        <w:tab/>
        <w:t>If an alignment of settlement expenses by FERC account has been prepared, please provide it. If not, answer parts c, d, e and f.</w:t>
      </w:r>
    </w:p>
    <w:p w:rsidR="00CF542E" w:rsidRPr="00CF542E" w:rsidRDefault="00CF542E" w:rsidP="00CF542E">
      <w:pPr>
        <w:ind w:left="720" w:hanging="720"/>
        <w:rPr>
          <w:rFonts w:ascii="Arial" w:hAnsi="Arial" w:cs="Arial"/>
        </w:rPr>
      </w:pPr>
      <w:r w:rsidRPr="00CF542E">
        <w:rPr>
          <w:rFonts w:ascii="Arial" w:hAnsi="Arial" w:cs="Arial"/>
        </w:rPr>
        <w:t>b)</w:t>
      </w:r>
      <w:r w:rsidRPr="00CF542E">
        <w:rPr>
          <w:rFonts w:ascii="Arial" w:hAnsi="Arial" w:cs="Arial"/>
        </w:rPr>
        <w:tab/>
        <w:t>Divide O&amp;M expenses by function into labor and non-labor costs.</w:t>
      </w:r>
    </w:p>
    <w:p w:rsidR="00CF542E" w:rsidRPr="00CF542E" w:rsidRDefault="00CF542E" w:rsidP="00CF542E">
      <w:pPr>
        <w:ind w:left="720" w:hanging="720"/>
        <w:rPr>
          <w:rFonts w:ascii="Arial" w:hAnsi="Arial" w:cs="Arial"/>
        </w:rPr>
      </w:pPr>
      <w:r w:rsidRPr="00CF542E">
        <w:rPr>
          <w:rFonts w:ascii="Arial" w:hAnsi="Arial" w:cs="Arial"/>
        </w:rPr>
        <w:t>c)</w:t>
      </w:r>
      <w:r w:rsidRPr="00CF542E">
        <w:rPr>
          <w:rFonts w:ascii="Arial" w:hAnsi="Arial" w:cs="Arial"/>
        </w:rPr>
        <w:tab/>
        <w:t>Divide Support Services and Information Technology expenses by function (transmission, storage, distribution, customer, A&amp;G).</w:t>
      </w:r>
    </w:p>
    <w:p w:rsidR="00CF542E" w:rsidRPr="00CF542E" w:rsidRDefault="00CF542E" w:rsidP="00CF542E">
      <w:pPr>
        <w:ind w:left="720" w:hanging="720"/>
        <w:rPr>
          <w:rFonts w:ascii="Arial" w:hAnsi="Arial" w:cs="Arial"/>
        </w:rPr>
      </w:pPr>
      <w:r w:rsidRPr="00CF542E">
        <w:rPr>
          <w:rFonts w:ascii="Arial" w:hAnsi="Arial" w:cs="Arial"/>
        </w:rPr>
        <w:t>d)</w:t>
      </w:r>
      <w:r w:rsidRPr="00CF542E">
        <w:rPr>
          <w:rFonts w:ascii="Arial" w:hAnsi="Arial" w:cs="Arial"/>
        </w:rPr>
        <w:tab/>
        <w:t>Divide shared services adjustments by function.</w:t>
      </w:r>
    </w:p>
    <w:p w:rsidR="00CF542E" w:rsidRPr="00CF542E" w:rsidRDefault="00CF542E" w:rsidP="00CF542E">
      <w:pPr>
        <w:ind w:left="720" w:hanging="720"/>
        <w:rPr>
          <w:rFonts w:ascii="Arial" w:hAnsi="Arial" w:cs="Arial"/>
        </w:rPr>
      </w:pPr>
      <w:r w:rsidRPr="00CF542E">
        <w:rPr>
          <w:rFonts w:ascii="Arial" w:hAnsi="Arial" w:cs="Arial"/>
        </w:rPr>
        <w:t>e)</w:t>
      </w:r>
      <w:r w:rsidRPr="00CF542E">
        <w:rPr>
          <w:rFonts w:ascii="Arial" w:hAnsi="Arial" w:cs="Arial"/>
        </w:rPr>
        <w:tab/>
        <w:t>Divide reassignments by function.</w:t>
      </w:r>
    </w:p>
    <w:p w:rsidR="00CF542E" w:rsidRPr="00CF542E" w:rsidRDefault="00CF542E" w:rsidP="00CF542E">
      <w:pPr>
        <w:ind w:left="720" w:hanging="720"/>
        <w:rPr>
          <w:rFonts w:ascii="Arial" w:hAnsi="Arial" w:cs="Arial"/>
        </w:rPr>
      </w:pPr>
      <w:r w:rsidRPr="00CF542E">
        <w:rPr>
          <w:rFonts w:ascii="Arial" w:hAnsi="Arial" w:cs="Arial"/>
        </w:rPr>
        <w:t>f)</w:t>
      </w:r>
      <w:r w:rsidRPr="00CF542E">
        <w:rPr>
          <w:rFonts w:ascii="Arial" w:hAnsi="Arial" w:cs="Arial"/>
        </w:rPr>
        <w:tab/>
        <w:t>Divide A&amp;G expenses into insurance, pensions and benefits, and other A&amp;G expenses separately stated by function (e.g., transmission, distribution, customer accounts, customer service, A&amp;G), and into labor and non-labor.</w:t>
      </w:r>
    </w:p>
    <w:p w:rsidR="00CF542E" w:rsidRPr="00CF542E" w:rsidRDefault="00CF542E" w:rsidP="00CF542E">
      <w:pPr>
        <w:ind w:left="720" w:hanging="720"/>
        <w:rPr>
          <w:rFonts w:ascii="Arial" w:hAnsi="Arial" w:cs="Arial"/>
        </w:rPr>
      </w:pPr>
      <w:r w:rsidRPr="00CF542E">
        <w:rPr>
          <w:rFonts w:ascii="Arial" w:hAnsi="Arial" w:cs="Arial"/>
        </w:rPr>
        <w:t>g)</w:t>
      </w:r>
      <w:r w:rsidRPr="00CF542E">
        <w:rPr>
          <w:rFonts w:ascii="Arial" w:hAnsi="Arial" w:cs="Arial"/>
        </w:rPr>
        <w:tab/>
        <w:t>Divide depreciation expenses by function (transmission, storage, distribution, and common and general plant).</w:t>
      </w:r>
    </w:p>
    <w:p w:rsidR="00CF542E" w:rsidRPr="00CF542E" w:rsidRDefault="00CF542E" w:rsidP="00CF542E">
      <w:pPr>
        <w:ind w:left="720" w:hanging="720"/>
        <w:rPr>
          <w:rFonts w:ascii="Arial" w:hAnsi="Arial" w:cs="Arial"/>
        </w:rPr>
      </w:pPr>
      <w:r w:rsidRPr="00CF542E">
        <w:rPr>
          <w:rFonts w:ascii="Arial" w:hAnsi="Arial" w:cs="Arial"/>
        </w:rPr>
        <w:t>h)</w:t>
      </w:r>
      <w:r w:rsidRPr="00CF542E">
        <w:rPr>
          <w:rFonts w:ascii="Arial" w:hAnsi="Arial" w:cs="Arial"/>
        </w:rPr>
        <w:tab/>
        <w:t>Divide taxes other than income into property-related taxes and labor-related taxes.</w:t>
      </w:r>
    </w:p>
    <w:p w:rsidR="00582C14" w:rsidRPr="0031141C" w:rsidRDefault="00CF542E" w:rsidP="00CF542E">
      <w:pPr>
        <w:ind w:left="720" w:hanging="720"/>
        <w:rPr>
          <w:rFonts w:ascii="Arial" w:hAnsi="Arial" w:cs="Arial"/>
        </w:rPr>
      </w:pPr>
      <w:r w:rsidRPr="00CF542E">
        <w:rPr>
          <w:rFonts w:ascii="Arial" w:hAnsi="Arial" w:cs="Arial"/>
        </w:rPr>
        <w:t>i)</w:t>
      </w:r>
      <w:r w:rsidRPr="00CF542E">
        <w:rPr>
          <w:rFonts w:ascii="Arial" w:hAnsi="Arial" w:cs="Arial"/>
        </w:rPr>
        <w:tab/>
        <w:t xml:space="preserve">Provide the components of rate base.  Separately provide gross plant, depreciation reserve and net plant, divided into transmission, storage, distribution, and common and general plant, as well as other components of rate base not </w:t>
      </w:r>
      <w:proofErr w:type="gramStart"/>
      <w:r w:rsidRPr="00CF542E">
        <w:rPr>
          <w:rFonts w:ascii="Arial" w:hAnsi="Arial" w:cs="Arial"/>
        </w:rPr>
        <w:t>differentiated  by</w:t>
      </w:r>
      <w:proofErr w:type="gramEnd"/>
      <w:r w:rsidRPr="00CF542E">
        <w:rPr>
          <w:rFonts w:ascii="Arial" w:hAnsi="Arial" w:cs="Arial"/>
        </w:rPr>
        <w:t xml:space="preserve"> function (materials and supplies, customer advances for construction, accumulated deferred income taxes, cash working capital).</w:t>
      </w: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Pr="00414383" w:rsidRDefault="00414383" w:rsidP="005C6E7A">
      <w:pPr>
        <w:rPr>
          <w:rFonts w:ascii="Arial" w:hAnsi="Arial" w:cs="Arial"/>
          <w:szCs w:val="28"/>
        </w:rPr>
      </w:pPr>
      <w:r>
        <w:rPr>
          <w:rFonts w:ascii="Arial" w:hAnsi="Arial" w:cs="Arial"/>
          <w:szCs w:val="28"/>
        </w:rPr>
        <w:t>See Response 2 above.</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414383">
        <w:rPr>
          <w:rFonts w:ascii="Arial" w:hAnsi="Arial" w:cs="Arial"/>
          <w:b/>
          <w:u w:val="single"/>
        </w:rPr>
        <w:t>QUESTION 4:</w:t>
      </w:r>
    </w:p>
    <w:p w:rsidR="00582C14" w:rsidRPr="0031141C" w:rsidRDefault="00582C14"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 xml:space="preserve">Please provide a </w:t>
      </w:r>
      <w:proofErr w:type="spellStart"/>
      <w:r w:rsidRPr="00A5194E">
        <w:rPr>
          <w:rFonts w:ascii="Arial" w:hAnsi="Arial" w:cs="Arial"/>
        </w:rPr>
        <w:t>workpaper</w:t>
      </w:r>
      <w:proofErr w:type="spellEnd"/>
      <w:r w:rsidRPr="00A5194E">
        <w:rPr>
          <w:rFonts w:ascii="Arial" w:hAnsi="Arial" w:cs="Arial"/>
        </w:rPr>
        <w:t xml:space="preserve"> showing the source of the current base margin and deriving the $1,668,970 in scaled LRMC revenues from Table 14 of Mr. </w:t>
      </w:r>
      <w:proofErr w:type="spellStart"/>
      <w:r w:rsidRPr="00A5194E">
        <w:rPr>
          <w:rFonts w:ascii="Arial" w:hAnsi="Arial" w:cs="Arial"/>
        </w:rPr>
        <w:t>Chaudhury’s</w:t>
      </w:r>
      <w:proofErr w:type="spellEnd"/>
      <w:r w:rsidRPr="00A5194E">
        <w:rPr>
          <w:rFonts w:ascii="Arial" w:hAnsi="Arial" w:cs="Arial"/>
        </w:rPr>
        <w:t xml:space="preserve"> testimony.  Specifically explain whether the transmission and storage figures are </w:t>
      </w:r>
      <w:proofErr w:type="spellStart"/>
      <w:r w:rsidRPr="00A5194E">
        <w:rPr>
          <w:rFonts w:ascii="Arial" w:hAnsi="Arial" w:cs="Arial"/>
        </w:rPr>
        <w:t>SoCalGas’s</w:t>
      </w:r>
      <w:proofErr w:type="spellEnd"/>
      <w:r w:rsidRPr="00A5194E">
        <w:rPr>
          <w:rFonts w:ascii="Arial" w:hAnsi="Arial" w:cs="Arial"/>
        </w:rPr>
        <w:t xml:space="preserve"> embedded costs for 2013, and identify the date when total base margin was developed in this testimony. </w:t>
      </w:r>
    </w:p>
    <w:p w:rsidR="005F4287" w:rsidRPr="0031141C" w:rsidRDefault="005F4287" w:rsidP="00F67377">
      <w:pPr>
        <w:rPr>
          <w:rFonts w:ascii="Arial" w:hAnsi="Arial" w:cs="Arial"/>
        </w:rPr>
      </w:pPr>
    </w:p>
    <w:p w:rsidR="005F4287" w:rsidRPr="0031141C" w:rsidRDefault="005F4287" w:rsidP="00F67377">
      <w:pPr>
        <w:rPr>
          <w:rFonts w:ascii="Arial" w:hAnsi="Arial" w:cs="Arial"/>
        </w:rPr>
      </w:pPr>
    </w:p>
    <w:p w:rsidR="00F67377" w:rsidRPr="00862118" w:rsidRDefault="00F67377" w:rsidP="00F67377">
      <w:pPr>
        <w:rPr>
          <w:rFonts w:ascii="Arial" w:hAnsi="Arial" w:cs="Arial"/>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w:t>
      </w:r>
      <w:r w:rsidR="00862118">
        <w:rPr>
          <w:rFonts w:ascii="Arial" w:hAnsi="Arial" w:cs="Arial"/>
          <w:b/>
          <w:u w:val="single"/>
        </w:rPr>
        <w:t xml:space="preserve"> </w:t>
      </w:r>
    </w:p>
    <w:p w:rsidR="00F67377" w:rsidRDefault="00F67377" w:rsidP="005C6E7A">
      <w:pPr>
        <w:rPr>
          <w:rFonts w:ascii="Arial" w:hAnsi="Arial" w:cs="Arial"/>
          <w:sz w:val="28"/>
          <w:szCs w:val="28"/>
        </w:rPr>
      </w:pPr>
    </w:p>
    <w:p w:rsidR="008F1DD5" w:rsidRDefault="008F1DD5" w:rsidP="008F1DD5">
      <w:pPr>
        <w:rPr>
          <w:rFonts w:ascii="Arial" w:hAnsi="Arial" w:cs="Arial"/>
        </w:rPr>
      </w:pPr>
      <w:r w:rsidRPr="009025D7">
        <w:rPr>
          <w:rFonts w:ascii="Arial" w:hAnsi="Arial" w:cs="Arial"/>
        </w:rPr>
        <w:t xml:space="preserve">The </w:t>
      </w:r>
      <w:r w:rsidR="005321A1">
        <w:rPr>
          <w:rFonts w:ascii="Arial" w:hAnsi="Arial" w:cs="Arial"/>
        </w:rPr>
        <w:t xml:space="preserve">derivation of </w:t>
      </w:r>
      <w:r w:rsidRPr="009025D7">
        <w:rPr>
          <w:rFonts w:ascii="Arial" w:hAnsi="Arial" w:cs="Arial"/>
        </w:rPr>
        <w:t xml:space="preserve">base margin </w:t>
      </w:r>
      <w:r w:rsidR="005321A1">
        <w:rPr>
          <w:rFonts w:ascii="Arial" w:hAnsi="Arial" w:cs="Arial"/>
        </w:rPr>
        <w:t>of</w:t>
      </w:r>
      <w:r w:rsidR="00F90E88">
        <w:rPr>
          <w:rFonts w:ascii="Arial" w:hAnsi="Arial" w:cs="Arial"/>
        </w:rPr>
        <w:t xml:space="preserve"> $1,987,220</w:t>
      </w:r>
      <w:r w:rsidRPr="009025D7">
        <w:rPr>
          <w:rFonts w:ascii="Arial" w:hAnsi="Arial" w:cs="Arial"/>
        </w:rPr>
        <w:t xml:space="preserve"> is shown </w:t>
      </w:r>
      <w:r w:rsidR="005321A1">
        <w:rPr>
          <w:rFonts w:ascii="Arial" w:hAnsi="Arial" w:cs="Arial"/>
        </w:rPr>
        <w:t>in</w:t>
      </w:r>
      <w:r w:rsidRPr="009025D7">
        <w:rPr>
          <w:rFonts w:ascii="Arial" w:hAnsi="Arial" w:cs="Arial"/>
        </w:rPr>
        <w:t xml:space="preserve"> the first </w:t>
      </w:r>
      <w:r w:rsidR="005321A1">
        <w:rPr>
          <w:rFonts w:ascii="Arial" w:hAnsi="Arial" w:cs="Arial"/>
        </w:rPr>
        <w:t xml:space="preserve">attached </w:t>
      </w:r>
      <w:r w:rsidR="00C45605">
        <w:rPr>
          <w:rFonts w:ascii="Arial" w:hAnsi="Arial" w:cs="Arial"/>
        </w:rPr>
        <w:t>E</w:t>
      </w:r>
      <w:r w:rsidR="005321A1">
        <w:rPr>
          <w:rFonts w:ascii="Arial" w:hAnsi="Arial" w:cs="Arial"/>
        </w:rPr>
        <w:t>xcel file (</w:t>
      </w:r>
      <w:proofErr w:type="spellStart"/>
      <w:r w:rsidR="00F16EAF">
        <w:rPr>
          <w:rFonts w:ascii="Arial" w:hAnsi="Arial" w:cs="Arial"/>
        </w:rPr>
        <w:t>workpaper</w:t>
      </w:r>
      <w:proofErr w:type="spellEnd"/>
      <w:r w:rsidR="00F16EAF">
        <w:rPr>
          <w:rFonts w:ascii="Arial" w:hAnsi="Arial" w:cs="Arial"/>
        </w:rPr>
        <w:t xml:space="preserve"> of Mr. Bonnett: </w:t>
      </w:r>
      <w:r>
        <w:rPr>
          <w:rFonts w:ascii="Arial" w:hAnsi="Arial" w:cs="Arial"/>
        </w:rPr>
        <w:t xml:space="preserve">2017TCAP SCG RD Model.xlsm, </w:t>
      </w:r>
      <w:r w:rsidRPr="009025D7">
        <w:rPr>
          <w:rFonts w:ascii="Arial" w:hAnsi="Arial" w:cs="Arial"/>
        </w:rPr>
        <w:t>Revenue Check tab, cell F18</w:t>
      </w:r>
      <w:r w:rsidR="00F16EAF">
        <w:rPr>
          <w:rFonts w:ascii="Arial" w:hAnsi="Arial" w:cs="Arial"/>
        </w:rPr>
        <w:t>)</w:t>
      </w:r>
      <w:r w:rsidRPr="009025D7">
        <w:rPr>
          <w:rFonts w:ascii="Arial" w:hAnsi="Arial" w:cs="Arial"/>
        </w:rPr>
        <w:t xml:space="preserve">.  </w:t>
      </w:r>
      <w:r w:rsidR="00F16EAF">
        <w:rPr>
          <w:rFonts w:ascii="Arial" w:hAnsi="Arial" w:cs="Arial"/>
        </w:rPr>
        <w:t xml:space="preserve">Cell F22 of the same tab shows adjusted base margin </w:t>
      </w:r>
      <w:r w:rsidR="00F16EAF" w:rsidRPr="009025D7">
        <w:rPr>
          <w:rFonts w:ascii="Arial" w:hAnsi="Arial" w:cs="Arial"/>
        </w:rPr>
        <w:t>of $1,975,458</w:t>
      </w:r>
      <w:r w:rsidR="00F16EAF">
        <w:rPr>
          <w:rFonts w:ascii="Arial" w:hAnsi="Arial" w:cs="Arial"/>
        </w:rPr>
        <w:t xml:space="preserve">, adjusted for AB32 Fees and Core Brokerage Fees. </w:t>
      </w:r>
      <w:r w:rsidRPr="009025D7">
        <w:rPr>
          <w:rFonts w:ascii="Arial" w:hAnsi="Arial" w:cs="Arial"/>
        </w:rPr>
        <w:t xml:space="preserve"> </w:t>
      </w:r>
      <w:r w:rsidR="00F16EAF">
        <w:rPr>
          <w:rFonts w:ascii="Arial" w:hAnsi="Arial" w:cs="Arial"/>
        </w:rPr>
        <w:t xml:space="preserve">This adjusted base margin is </w:t>
      </w:r>
      <w:r w:rsidRPr="009025D7">
        <w:rPr>
          <w:rFonts w:ascii="Arial" w:hAnsi="Arial" w:cs="Arial"/>
        </w:rPr>
        <w:t>then linked to the second</w:t>
      </w:r>
      <w:r>
        <w:rPr>
          <w:rFonts w:ascii="Arial" w:hAnsi="Arial" w:cs="Arial"/>
        </w:rPr>
        <w:t xml:space="preserve"> attached </w:t>
      </w:r>
      <w:r w:rsidR="00F16EAF">
        <w:rPr>
          <w:rFonts w:ascii="Arial" w:hAnsi="Arial" w:cs="Arial"/>
        </w:rPr>
        <w:t>excel file (</w:t>
      </w:r>
      <w:proofErr w:type="spellStart"/>
      <w:r w:rsidRPr="009025D7">
        <w:rPr>
          <w:rFonts w:ascii="Arial" w:hAnsi="Arial" w:cs="Arial"/>
        </w:rPr>
        <w:t>workpaper</w:t>
      </w:r>
      <w:proofErr w:type="spellEnd"/>
      <w:r w:rsidRPr="009025D7">
        <w:rPr>
          <w:rFonts w:ascii="Arial" w:hAnsi="Arial" w:cs="Arial"/>
        </w:rPr>
        <w:t xml:space="preserve"> of Mr. Chaudhury</w:t>
      </w:r>
      <w:r w:rsidR="00F16EAF">
        <w:rPr>
          <w:rFonts w:ascii="Arial" w:hAnsi="Arial" w:cs="Arial"/>
        </w:rPr>
        <w:t>:</w:t>
      </w:r>
      <w:r w:rsidRPr="009025D7">
        <w:rPr>
          <w:rFonts w:ascii="Arial" w:hAnsi="Arial" w:cs="Arial"/>
        </w:rPr>
        <w:t xml:space="preserve"> </w:t>
      </w:r>
      <w:r>
        <w:rPr>
          <w:rFonts w:ascii="Arial" w:hAnsi="Arial" w:cs="Arial"/>
        </w:rPr>
        <w:t xml:space="preserve">SoCalGas Cost Allocation mdodel.xlsx, </w:t>
      </w:r>
      <w:r w:rsidRPr="009025D7">
        <w:rPr>
          <w:rFonts w:ascii="Arial" w:hAnsi="Arial" w:cs="Arial"/>
        </w:rPr>
        <w:t>Cost Allocation</w:t>
      </w:r>
      <w:r>
        <w:rPr>
          <w:rFonts w:ascii="Arial" w:hAnsi="Arial" w:cs="Arial"/>
        </w:rPr>
        <w:t xml:space="preserve"> tab</w:t>
      </w:r>
      <w:r w:rsidR="00F16EAF">
        <w:rPr>
          <w:rFonts w:ascii="Arial" w:hAnsi="Arial" w:cs="Arial"/>
        </w:rPr>
        <w:t>,</w:t>
      </w:r>
      <w:r w:rsidRPr="009025D7">
        <w:rPr>
          <w:rFonts w:ascii="Arial" w:hAnsi="Arial" w:cs="Arial"/>
        </w:rPr>
        <w:t xml:space="preserve"> cell E29</w:t>
      </w:r>
      <w:r w:rsidR="00F16EAF">
        <w:rPr>
          <w:rFonts w:ascii="Arial" w:hAnsi="Arial" w:cs="Arial"/>
        </w:rPr>
        <w:t>)</w:t>
      </w:r>
      <w:r w:rsidRPr="009025D7">
        <w:rPr>
          <w:rFonts w:ascii="Arial" w:hAnsi="Arial" w:cs="Arial"/>
        </w:rPr>
        <w:t xml:space="preserve">.  </w:t>
      </w:r>
      <w:r w:rsidR="004B4D71">
        <w:rPr>
          <w:rFonts w:ascii="Arial" w:hAnsi="Arial" w:cs="Arial"/>
        </w:rPr>
        <w:t>Starting at cell E29, column E of t</w:t>
      </w:r>
      <w:r w:rsidRPr="009025D7">
        <w:rPr>
          <w:rFonts w:ascii="Arial" w:hAnsi="Arial" w:cs="Arial"/>
        </w:rPr>
        <w:t>he Cost Allocation</w:t>
      </w:r>
      <w:r>
        <w:rPr>
          <w:rFonts w:ascii="Arial" w:hAnsi="Arial" w:cs="Arial"/>
        </w:rPr>
        <w:t xml:space="preserve"> tab</w:t>
      </w:r>
      <w:r w:rsidRPr="009025D7">
        <w:rPr>
          <w:rFonts w:ascii="Arial" w:hAnsi="Arial" w:cs="Arial"/>
        </w:rPr>
        <w:t xml:space="preserve"> shows how </w:t>
      </w:r>
      <w:r w:rsidR="004B4D71">
        <w:rPr>
          <w:rFonts w:ascii="Arial" w:hAnsi="Arial" w:cs="Arial"/>
        </w:rPr>
        <w:t xml:space="preserve">the </w:t>
      </w:r>
      <w:r w:rsidRPr="009025D7">
        <w:rPr>
          <w:rFonts w:ascii="Arial" w:hAnsi="Arial" w:cs="Arial"/>
        </w:rPr>
        <w:t>$1,668,970 in scaled LRMC revenues is derived on cell E38.</w:t>
      </w:r>
      <w:r>
        <w:rPr>
          <w:rFonts w:ascii="Arial" w:hAnsi="Arial" w:cs="Arial"/>
        </w:rPr>
        <w:t xml:space="preserve">  T</w:t>
      </w:r>
      <w:r w:rsidRPr="00A5194E">
        <w:rPr>
          <w:rFonts w:ascii="Arial" w:hAnsi="Arial" w:cs="Arial"/>
        </w:rPr>
        <w:t>he transmission and storage figures are SoCalGas’</w:t>
      </w:r>
      <w:r>
        <w:rPr>
          <w:rFonts w:ascii="Arial" w:hAnsi="Arial" w:cs="Arial"/>
        </w:rPr>
        <w:t xml:space="preserve"> </w:t>
      </w:r>
      <w:r w:rsidR="00414383">
        <w:rPr>
          <w:rFonts w:ascii="Arial" w:hAnsi="Arial" w:cs="Arial"/>
        </w:rPr>
        <w:t>embedded costs</w:t>
      </w:r>
      <w:r w:rsidR="003E11CA">
        <w:rPr>
          <w:rFonts w:ascii="Arial" w:hAnsi="Arial" w:cs="Arial"/>
        </w:rPr>
        <w:t xml:space="preserve"> for 2013 as discussed in the prepared direct testimony of Ms. Fung</w:t>
      </w:r>
      <w:r>
        <w:rPr>
          <w:rFonts w:ascii="Arial" w:hAnsi="Arial" w:cs="Arial"/>
        </w:rPr>
        <w:t xml:space="preserve">.  The attached </w:t>
      </w:r>
      <w:proofErr w:type="spellStart"/>
      <w:r>
        <w:rPr>
          <w:rFonts w:ascii="Arial" w:hAnsi="Arial" w:cs="Arial"/>
        </w:rPr>
        <w:t>workpapers</w:t>
      </w:r>
      <w:proofErr w:type="spellEnd"/>
      <w:r>
        <w:rPr>
          <w:rFonts w:ascii="Arial" w:hAnsi="Arial" w:cs="Arial"/>
        </w:rPr>
        <w:t xml:space="preserve"> </w:t>
      </w:r>
      <w:r w:rsidR="00940BDC">
        <w:rPr>
          <w:rFonts w:ascii="Arial" w:hAnsi="Arial" w:cs="Arial"/>
        </w:rPr>
        <w:t xml:space="preserve">to the Revised Testimony of Jason Bonnett and Sharim Chaudhury </w:t>
      </w:r>
      <w:r w:rsidR="00414383">
        <w:rPr>
          <w:rFonts w:ascii="Arial" w:hAnsi="Arial" w:cs="Arial"/>
        </w:rPr>
        <w:t>were developed for the Revised Prepared Direct Testimony submitted in</w:t>
      </w:r>
      <w:r>
        <w:rPr>
          <w:rFonts w:ascii="Arial" w:hAnsi="Arial" w:cs="Arial"/>
        </w:rPr>
        <w:t xml:space="preserve"> November 2015.</w:t>
      </w:r>
    </w:p>
    <w:p w:rsidR="00414383" w:rsidRDefault="00414383" w:rsidP="008F1DD5">
      <w:pPr>
        <w:rPr>
          <w:rFonts w:ascii="Arial" w:hAnsi="Arial" w:cs="Arial"/>
        </w:rPr>
      </w:pPr>
    </w:p>
    <w:p w:rsidR="00F67377" w:rsidRDefault="00402E63" w:rsidP="00F67377">
      <w:pPr>
        <w:rPr>
          <w:rFonts w:ascii="Arial" w:hAnsi="Arial" w:cs="Arial"/>
          <w:b/>
          <w:u w:val="single"/>
        </w:rPr>
      </w:pPr>
      <w:r w:rsidRPr="00414383">
        <w:rPr>
          <w:rFonts w:ascii="Arial" w:hAnsi="Arial" w:cs="Arial"/>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7.6pt" o:ole="">
            <v:imagedata r:id="rId9" o:title=""/>
          </v:shape>
          <o:OLEObject Type="Embed" ProgID="Excel.SheetMacroEnabled.12" ShapeID="_x0000_i1025" DrawAspect="Icon" ObjectID="_1519128179" r:id="rId10"/>
        </w:object>
      </w:r>
      <w:r w:rsidRPr="00414383">
        <w:rPr>
          <w:rFonts w:ascii="Arial" w:hAnsi="Arial" w:cs="Arial"/>
        </w:rPr>
        <w:object w:dxaOrig="2040" w:dyaOrig="1339">
          <v:shape id="_x0000_i1026" type="#_x0000_t75" style="width:102.05pt;height:67.6pt" o:ole="">
            <v:imagedata r:id="rId11" o:title=""/>
          </v:shape>
          <o:OLEObject Type="Embed" ProgID="Excel.Sheet.12" ShapeID="_x0000_i1026" DrawAspect="Icon" ObjectID="_1519128180" r:id="rId12"/>
        </w:object>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414383" w:rsidRDefault="00414383">
      <w:pPr>
        <w:rPr>
          <w:rFonts w:ascii="Arial" w:hAnsi="Arial" w:cs="Arial"/>
          <w:b/>
          <w:u w:val="single"/>
        </w:rPr>
      </w:pPr>
      <w:r>
        <w:rPr>
          <w:rFonts w:ascii="Arial" w:hAnsi="Arial" w:cs="Arial"/>
          <w:b/>
          <w:u w:val="single"/>
        </w:rPr>
        <w:br w:type="page"/>
      </w:r>
    </w:p>
    <w:p w:rsidR="008F1DD5" w:rsidRDefault="008F1DD5" w:rsidP="00F67377">
      <w:pPr>
        <w:rPr>
          <w:rFonts w:ascii="Arial" w:hAnsi="Arial" w:cs="Arial"/>
          <w:b/>
          <w:u w:val="single"/>
        </w:rPr>
      </w:pPr>
    </w:p>
    <w:p w:rsidR="008F1DD5" w:rsidRDefault="008F1DD5"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Pr>
          <w:rFonts w:ascii="Arial" w:hAnsi="Arial" w:cs="Arial"/>
          <w:b/>
          <w:u w:val="single"/>
        </w:rPr>
        <w:t>5</w:t>
      </w:r>
      <w:r w:rsidRPr="00F759E8">
        <w:rPr>
          <w:rFonts w:ascii="Arial" w:hAnsi="Arial" w:cs="Arial"/>
          <w:b/>
          <w:u w:val="single"/>
        </w:rPr>
        <w:t>:</w:t>
      </w:r>
    </w:p>
    <w:p w:rsidR="005F4287" w:rsidRPr="0031141C" w:rsidRDefault="005F428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Would setting transmission costs at 2013 embedded cost levels mean that all increases in revenue requirements from 2013 until the next TCAP (other than PSEP costs) would be assigned to distribution rates and thereby assigned over 95% to core customers?  If so, please explain why this treatment is reasonable. Also, please explain in detail how increases to the transmission revenue requirement from 2013 until the next TCAP (other than PSEP costs) would be allocated under each utility’s proposal in this TCAP.</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5</w:t>
      </w:r>
      <w:r w:rsidRPr="00F759E8">
        <w:rPr>
          <w:rFonts w:ascii="Arial" w:hAnsi="Arial" w:cs="Arial"/>
          <w:b/>
          <w:u w:val="single"/>
        </w:rPr>
        <w:t>:</w:t>
      </w:r>
    </w:p>
    <w:p w:rsidR="00F67377" w:rsidRDefault="00F67377" w:rsidP="005C6E7A">
      <w:pPr>
        <w:rPr>
          <w:rFonts w:ascii="Arial" w:hAnsi="Arial" w:cs="Arial"/>
          <w:sz w:val="28"/>
          <w:szCs w:val="28"/>
        </w:rPr>
      </w:pPr>
    </w:p>
    <w:p w:rsidR="00414383" w:rsidRDefault="000B0B0D" w:rsidP="00414383">
      <w:pPr>
        <w:rPr>
          <w:rFonts w:ascii="Arial" w:hAnsi="Arial" w:cs="Arial"/>
        </w:rPr>
      </w:pPr>
      <w:r>
        <w:rPr>
          <w:rFonts w:ascii="Arial" w:hAnsi="Arial" w:cs="Arial"/>
        </w:rPr>
        <w:t>T</w:t>
      </w:r>
      <w:r w:rsidR="00414383">
        <w:rPr>
          <w:rFonts w:ascii="Arial" w:hAnsi="Arial" w:cs="Arial"/>
        </w:rPr>
        <w:t xml:space="preserve">he costs would be </w:t>
      </w:r>
      <w:r>
        <w:rPr>
          <w:rFonts w:ascii="Arial" w:hAnsi="Arial" w:cs="Arial"/>
        </w:rPr>
        <w:t>allocated through</w:t>
      </w:r>
      <w:r w:rsidR="00414383">
        <w:rPr>
          <w:rFonts w:ascii="Arial" w:hAnsi="Arial" w:cs="Arial"/>
        </w:rPr>
        <w:t xml:space="preserve"> scalar.</w:t>
      </w:r>
    </w:p>
    <w:p w:rsidR="00414383" w:rsidRDefault="00414383" w:rsidP="00414383">
      <w:pPr>
        <w:rPr>
          <w:rFonts w:ascii="Arial" w:hAnsi="Arial" w:cs="Arial"/>
        </w:rPr>
      </w:pPr>
    </w:p>
    <w:p w:rsidR="00414383" w:rsidRDefault="00414383" w:rsidP="00414383">
      <w:pPr>
        <w:rPr>
          <w:rFonts w:ascii="Arial" w:hAnsi="Arial" w:cs="Arial"/>
        </w:rPr>
      </w:pPr>
      <w:r>
        <w:rPr>
          <w:rFonts w:ascii="Arial" w:hAnsi="Arial" w:cs="Arial"/>
        </w:rPr>
        <w:t xml:space="preserve">This treatment facilitates rate stability during the triennial open season for all BTS customers, allowing them to lock in baseload contracts at specific receipt points for </w:t>
      </w:r>
      <w:r w:rsidRPr="000A701C">
        <w:rPr>
          <w:rFonts w:ascii="Arial" w:hAnsi="Arial" w:cs="Arial"/>
        </w:rPr>
        <w:t xml:space="preserve">at least </w:t>
      </w:r>
      <w:r>
        <w:rPr>
          <w:rFonts w:ascii="Arial" w:hAnsi="Arial" w:cs="Arial"/>
        </w:rPr>
        <w:t>three years.</w:t>
      </w:r>
    </w:p>
    <w:p w:rsidR="00414383" w:rsidRDefault="00414383" w:rsidP="00414383">
      <w:pPr>
        <w:rPr>
          <w:rFonts w:ascii="Arial" w:hAnsi="Arial" w:cs="Arial"/>
        </w:rPr>
      </w:pPr>
    </w:p>
    <w:p w:rsidR="00414383" w:rsidRPr="00757744" w:rsidRDefault="005C5F4B" w:rsidP="005C5F4B">
      <w:pPr>
        <w:rPr>
          <w:rFonts w:ascii="Calibri" w:eastAsia="Calibri" w:hAnsi="Calibri"/>
          <w:sz w:val="22"/>
          <w:szCs w:val="22"/>
        </w:rPr>
      </w:pPr>
      <w:r>
        <w:rPr>
          <w:rFonts w:ascii="Arial" w:hAnsi="Arial" w:cs="Arial"/>
        </w:rPr>
        <w:t>For determining the allocation of base margin, please refer to Response 4.</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 xml:space="preserve">Please provide estimates of the increases in gas transmission net plant and operations and maintenance expenses that SoCalGas and SDG&amp;E forecast from this 2013 embedded cost study to 2016 in the utilities’ direct testimony in the general rate case, A14-11-003 and A14-11-004.  </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6</w:t>
      </w:r>
      <w:r w:rsidRPr="00F759E8">
        <w:rPr>
          <w:rFonts w:ascii="Arial" w:hAnsi="Arial" w:cs="Arial"/>
          <w:b/>
          <w:u w:val="single"/>
        </w:rPr>
        <w:t>:</w:t>
      </w:r>
    </w:p>
    <w:p w:rsidR="00F67377" w:rsidRDefault="00F67377" w:rsidP="005C6E7A">
      <w:pPr>
        <w:rPr>
          <w:rFonts w:ascii="Arial" w:hAnsi="Arial" w:cs="Arial"/>
          <w:sz w:val="28"/>
          <w:szCs w:val="28"/>
        </w:rPr>
      </w:pPr>
    </w:p>
    <w:p w:rsidR="00414383" w:rsidRDefault="00414383" w:rsidP="00414383">
      <w:pPr>
        <w:rPr>
          <w:rFonts w:ascii="Arial" w:hAnsi="Arial" w:cs="Arial"/>
        </w:rPr>
      </w:pPr>
      <w:r>
        <w:rPr>
          <w:rFonts w:ascii="Arial" w:hAnsi="Arial" w:cs="Arial"/>
        </w:rPr>
        <w:t>These estimates are not available for the following reasons:</w:t>
      </w:r>
    </w:p>
    <w:p w:rsidR="00414383" w:rsidRDefault="00414383" w:rsidP="00414383">
      <w:pPr>
        <w:rPr>
          <w:rFonts w:ascii="Arial" w:hAnsi="Arial" w:cs="Arial"/>
        </w:rPr>
      </w:pPr>
    </w:p>
    <w:p w:rsidR="00414383" w:rsidRPr="00E239F6" w:rsidRDefault="00414383" w:rsidP="00414383">
      <w:pPr>
        <w:rPr>
          <w:rFonts w:ascii="Arial" w:hAnsi="Arial" w:cs="Arial"/>
        </w:rPr>
      </w:pPr>
      <w:r w:rsidRPr="00E239F6">
        <w:rPr>
          <w:rFonts w:ascii="Arial" w:hAnsi="Arial" w:cs="Arial"/>
        </w:rPr>
        <w:t>These 2013 recorded costs are based on the FERC Uniform System of Accounts (USOA)</w:t>
      </w:r>
      <w:r w:rsidR="003E11CA">
        <w:rPr>
          <w:rFonts w:ascii="Arial" w:hAnsi="Arial" w:cs="Arial"/>
        </w:rPr>
        <w:t xml:space="preserve"> </w:t>
      </w:r>
      <w:r w:rsidRPr="00E239F6">
        <w:rPr>
          <w:rFonts w:ascii="Arial" w:hAnsi="Arial" w:cs="Arial"/>
        </w:rPr>
        <w:t>shown in SoCalGas’ Annual Report to the CPUC (also known as the FERC Form 2), which is</w:t>
      </w:r>
      <w:r w:rsidR="003E11CA">
        <w:rPr>
          <w:rFonts w:ascii="Arial" w:hAnsi="Arial" w:cs="Arial"/>
        </w:rPr>
        <w:t xml:space="preserve"> </w:t>
      </w:r>
      <w:r w:rsidRPr="00E239F6">
        <w:rPr>
          <w:rFonts w:ascii="Arial" w:hAnsi="Arial" w:cs="Arial"/>
        </w:rPr>
        <w:t>the primary source used for allocating costs since this report is publicly available to all interested</w:t>
      </w:r>
      <w:r>
        <w:rPr>
          <w:rFonts w:ascii="Arial" w:hAnsi="Arial" w:cs="Arial"/>
        </w:rPr>
        <w:t xml:space="preserve"> </w:t>
      </w:r>
      <w:r w:rsidRPr="00E239F6">
        <w:rPr>
          <w:rFonts w:ascii="Arial" w:hAnsi="Arial" w:cs="Arial"/>
        </w:rPr>
        <w:t>parties.</w:t>
      </w:r>
      <w:r>
        <w:rPr>
          <w:rStyle w:val="FootnoteReference"/>
          <w:rFonts w:ascii="Arial" w:hAnsi="Arial" w:cs="Arial"/>
        </w:rPr>
        <w:footnoteReference w:id="1"/>
      </w:r>
    </w:p>
    <w:p w:rsidR="00414383" w:rsidRPr="00960754" w:rsidRDefault="00414383" w:rsidP="00414383">
      <w:pPr>
        <w:rPr>
          <w:rFonts w:ascii="Arial" w:hAnsi="Arial" w:cs="Arial"/>
        </w:rPr>
      </w:pPr>
      <w:r>
        <w:rPr>
          <w:rFonts w:ascii="Arial" w:hAnsi="Arial" w:cs="Arial"/>
          <w:b/>
          <w:u w:val="single"/>
        </w:rPr>
        <w:t xml:space="preserve"> </w:t>
      </w:r>
    </w:p>
    <w:p w:rsidR="00414383" w:rsidRDefault="00414383" w:rsidP="00414383">
      <w:pPr>
        <w:rPr>
          <w:rFonts w:ascii="Arial" w:hAnsi="Arial" w:cs="Arial"/>
          <w:b/>
          <w:u w:val="single"/>
        </w:rPr>
      </w:pPr>
      <w:r w:rsidRPr="00960754">
        <w:rPr>
          <w:rFonts w:ascii="Arial" w:hAnsi="Arial" w:cs="Arial"/>
        </w:rPr>
        <w:t>SoCalGas does not use the FERC-USOA to manage and control operations – instead there is a cost control system based on areas of responsibility and function described internally as “cost centers.”  Historically, it had been necessary to translate these operating cost center control accounts into FERC-USOA for the GRC application.  This often led to significant adjustments.  Even though the accounting system was able to generate a conversion, SoCalGas made numerous adjustments to “manually” reallocate many overhead accounts or activities to the FERC-USOA accounts for GRC presentation.  Past experience showed that using the FERC-USOA format added an unnecessary level of complexity in the GRC that required conversion from the in-house accounting and management control system used in utility operations.  As a result, D. 08-07-046, Ordering Paragraph 22, authorized SoCalGas to file the next GRC using the then-current “cost center” system of internal accounting and control rather than convert and allocate the data to approximate the FERC-USOA.</w:t>
      </w:r>
      <w:r>
        <w:rPr>
          <w:rStyle w:val="FootnoteReference"/>
          <w:rFonts w:ascii="Arial" w:hAnsi="Arial" w:cs="Arial"/>
        </w:rPr>
        <w:footnoteReference w:id="2"/>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7</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 xml:space="preserve">Please provide estimates of the increase in gas transmission net plant and operations and maintenance expenses that SoCalGas and SDG&amp;E forecast from this 2013 embedded cost study to the settlement comparison exhibit for 2016 in the general rate case, A14-11-003 and A14-11-004.  </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414383" w:rsidRPr="001C53E6" w:rsidRDefault="00414383" w:rsidP="00414383">
      <w:pPr>
        <w:rPr>
          <w:rFonts w:ascii="Arial" w:hAnsi="Arial" w:cs="Arial"/>
        </w:rPr>
      </w:pPr>
      <w:r w:rsidRPr="001C53E6">
        <w:rPr>
          <w:rFonts w:ascii="Arial" w:hAnsi="Arial" w:cs="Arial"/>
        </w:rPr>
        <w:t>See Response 6.</w: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8</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Please confirm that the net plant figures used by Ms. Fung in the embedded cost study to allocate rate base include Asset Retirement Obligations (FERC Accounts 358 (storage), 372 (transmission), and 388 (distribution) for both SoCalGas (12</w:t>
      </w:r>
      <w:r w:rsidRPr="00A5194E">
        <w:rPr>
          <w:rFonts w:ascii="Arial" w:hAnsi="Arial" w:cs="Arial"/>
          <w:vertAlign w:val="superscript"/>
        </w:rPr>
        <w:t>th</w:t>
      </w:r>
      <w:r w:rsidRPr="00A5194E">
        <w:rPr>
          <w:rFonts w:ascii="Arial" w:hAnsi="Arial" w:cs="Arial"/>
        </w:rPr>
        <w:t xml:space="preserve"> unnumbered page) and SDG&amp;E (17</w:t>
      </w:r>
      <w:r w:rsidRPr="00A5194E">
        <w:rPr>
          <w:rFonts w:ascii="Arial" w:hAnsi="Arial" w:cs="Arial"/>
          <w:vertAlign w:val="superscript"/>
        </w:rPr>
        <w:t>th</w:t>
      </w:r>
      <w:r w:rsidRPr="00A5194E">
        <w:rPr>
          <w:rFonts w:ascii="Arial" w:hAnsi="Arial" w:cs="Arial"/>
        </w:rPr>
        <w:t xml:space="preserve"> unnumbered page).</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8</w:t>
      </w:r>
      <w:r w:rsidRPr="00F759E8">
        <w:rPr>
          <w:rFonts w:ascii="Arial" w:hAnsi="Arial" w:cs="Arial"/>
          <w:b/>
          <w:u w:val="single"/>
        </w:rPr>
        <w:t>:</w:t>
      </w:r>
    </w:p>
    <w:p w:rsidR="00F67377" w:rsidRDefault="00F67377" w:rsidP="005C6E7A">
      <w:pPr>
        <w:rPr>
          <w:rFonts w:ascii="Arial" w:hAnsi="Arial" w:cs="Arial"/>
          <w:sz w:val="28"/>
          <w:szCs w:val="28"/>
        </w:rPr>
      </w:pPr>
    </w:p>
    <w:p w:rsidR="00F67377" w:rsidRPr="00414383" w:rsidRDefault="00414383" w:rsidP="005C6E7A">
      <w:pPr>
        <w:rPr>
          <w:rFonts w:ascii="Arial" w:hAnsi="Arial" w:cs="Arial"/>
          <w:szCs w:val="28"/>
        </w:rPr>
      </w:pPr>
      <w:r>
        <w:rPr>
          <w:rFonts w:ascii="Arial" w:hAnsi="Arial" w:cs="Arial"/>
          <w:szCs w:val="28"/>
        </w:rPr>
        <w:t>Yes.</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9</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 xml:space="preserve">Please confirm that Asset Retirement Obligations are not included in rate base and do not earn a return.  </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9</w:t>
      </w:r>
      <w:r w:rsidRPr="00F759E8">
        <w:rPr>
          <w:rFonts w:ascii="Arial" w:hAnsi="Arial" w:cs="Arial"/>
          <w:b/>
          <w:u w:val="single"/>
        </w:rPr>
        <w:t>:</w:t>
      </w:r>
    </w:p>
    <w:p w:rsidR="00F67377" w:rsidRDefault="00F67377" w:rsidP="005C6E7A">
      <w:pPr>
        <w:rPr>
          <w:rFonts w:ascii="Arial" w:hAnsi="Arial" w:cs="Arial"/>
          <w:sz w:val="28"/>
          <w:szCs w:val="28"/>
        </w:rPr>
      </w:pPr>
    </w:p>
    <w:p w:rsidR="00F67377" w:rsidRPr="00414383" w:rsidRDefault="00414383" w:rsidP="005C6E7A">
      <w:pPr>
        <w:rPr>
          <w:rFonts w:ascii="Arial" w:hAnsi="Arial" w:cs="Arial"/>
          <w:szCs w:val="28"/>
        </w:rPr>
      </w:pPr>
      <w:r>
        <w:rPr>
          <w:rFonts w:ascii="Arial" w:hAnsi="Arial" w:cs="Arial"/>
          <w:szCs w:val="28"/>
        </w:rPr>
        <w:t>Yes.</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0</w:t>
      </w:r>
      <w:r w:rsidRPr="00F759E8">
        <w:rPr>
          <w:rFonts w:ascii="Arial" w:hAnsi="Arial" w:cs="Arial"/>
          <w:b/>
          <w:u w:val="single"/>
        </w:rPr>
        <w:t>:</w:t>
      </w:r>
    </w:p>
    <w:p w:rsidR="00582C14" w:rsidRPr="0031141C" w:rsidRDefault="00582C14" w:rsidP="00F67377">
      <w:pPr>
        <w:rPr>
          <w:rFonts w:ascii="Arial" w:hAnsi="Arial" w:cs="Arial"/>
        </w:rPr>
      </w:pPr>
    </w:p>
    <w:p w:rsidR="00CF542E" w:rsidRPr="00A5194E" w:rsidRDefault="00CF542E" w:rsidP="00CF542E">
      <w:pPr>
        <w:pStyle w:val="BodyText"/>
        <w:spacing w:after="240" w:line="240" w:lineRule="auto"/>
        <w:rPr>
          <w:rFonts w:ascii="Arial" w:hAnsi="Arial" w:cs="Arial"/>
          <w:sz w:val="24"/>
          <w:szCs w:val="24"/>
        </w:rPr>
      </w:pPr>
      <w:r w:rsidRPr="00A5194E">
        <w:rPr>
          <w:rFonts w:ascii="Arial" w:hAnsi="Arial" w:cs="Arial"/>
          <w:sz w:val="24"/>
          <w:szCs w:val="24"/>
        </w:rPr>
        <w:t xml:space="preserve">Is it the position of either SoCalGas or SDG&amp;E that it is reasonable to include costs that </w:t>
      </w:r>
      <w:r w:rsidRPr="00A5194E">
        <w:rPr>
          <w:rFonts w:ascii="Arial" w:hAnsi="Arial" w:cs="Arial"/>
          <w:sz w:val="24"/>
          <w:szCs w:val="24"/>
          <w:u w:val="single"/>
        </w:rPr>
        <w:t>are not</w:t>
      </w:r>
      <w:r w:rsidRPr="00A5194E">
        <w:rPr>
          <w:rFonts w:ascii="Arial" w:hAnsi="Arial" w:cs="Arial"/>
          <w:sz w:val="24"/>
          <w:szCs w:val="24"/>
        </w:rPr>
        <w:t xml:space="preserve"> included in rate base as part of an allocator to allocate the return on costs that </w:t>
      </w:r>
      <w:r w:rsidRPr="00A5194E">
        <w:rPr>
          <w:rFonts w:ascii="Arial" w:hAnsi="Arial" w:cs="Arial"/>
          <w:sz w:val="24"/>
          <w:szCs w:val="24"/>
          <w:u w:val="single"/>
        </w:rPr>
        <w:t>are</w:t>
      </w:r>
      <w:r w:rsidRPr="00A5194E">
        <w:rPr>
          <w:rFonts w:ascii="Arial" w:hAnsi="Arial" w:cs="Arial"/>
          <w:sz w:val="24"/>
          <w:szCs w:val="24"/>
        </w:rPr>
        <w:t xml:space="preserve"> included in rate base?  If the answer is anything but an unequivocal “no” please provide a detailed explanation.  </w:t>
      </w:r>
    </w:p>
    <w:p w:rsidR="00CF542E" w:rsidRDefault="00CF542E"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0</w:t>
      </w:r>
      <w:r w:rsidRPr="00F759E8">
        <w:rPr>
          <w:rFonts w:ascii="Arial" w:hAnsi="Arial" w:cs="Arial"/>
          <w:b/>
          <w:u w:val="single"/>
        </w:rPr>
        <w:t>:</w:t>
      </w:r>
    </w:p>
    <w:p w:rsidR="00F67377" w:rsidRDefault="00F67377" w:rsidP="005C6E7A">
      <w:pPr>
        <w:rPr>
          <w:rFonts w:ascii="Arial" w:hAnsi="Arial" w:cs="Arial"/>
          <w:sz w:val="28"/>
          <w:szCs w:val="28"/>
        </w:rPr>
      </w:pPr>
    </w:p>
    <w:p w:rsidR="00414383" w:rsidRDefault="00503D25" w:rsidP="00414383">
      <w:pPr>
        <w:rPr>
          <w:rFonts w:ascii="Arial" w:hAnsi="Arial" w:cs="Arial"/>
        </w:rPr>
      </w:pPr>
      <w:r>
        <w:rPr>
          <w:rFonts w:ascii="Arial" w:hAnsi="Arial" w:cs="Arial"/>
        </w:rPr>
        <w:t>Yes.</w:t>
      </w:r>
    </w:p>
    <w:p w:rsidR="00503D25" w:rsidRDefault="00503D25" w:rsidP="00414383">
      <w:pPr>
        <w:rPr>
          <w:rFonts w:ascii="Arial" w:hAnsi="Arial" w:cs="Arial"/>
        </w:rPr>
      </w:pPr>
    </w:p>
    <w:p w:rsidR="00414383" w:rsidRDefault="00414383" w:rsidP="00414383">
      <w:pPr>
        <w:rPr>
          <w:rFonts w:ascii="Arial" w:hAnsi="Arial" w:cs="Arial"/>
        </w:rPr>
      </w:pPr>
      <w:r w:rsidRPr="00355D41">
        <w:rPr>
          <w:rFonts w:ascii="Arial" w:hAnsi="Arial" w:cs="Arial"/>
        </w:rPr>
        <w:t xml:space="preserve">It is reasonable to include Asset Retirement Obligation (ARO) in determining functional cost allocation factors because ARO’s are capitalized costs of a company’s legal obligations resulting from the retirement of tangible long-lived assets.  For fiscal years beginning after June 15, 2002, the Financial Accounting Standards Board (FASB) issued Statement 143 to provide a mechanism </w:t>
      </w:r>
      <w:r w:rsidR="00C45605">
        <w:rPr>
          <w:rFonts w:ascii="Arial" w:hAnsi="Arial" w:cs="Arial"/>
        </w:rPr>
        <w:t>to improve</w:t>
      </w:r>
      <w:r w:rsidRPr="00355D41">
        <w:rPr>
          <w:rFonts w:ascii="Arial" w:hAnsi="Arial" w:cs="Arial"/>
        </w:rPr>
        <w:t xml:space="preserve"> companies’ balance sheets </w:t>
      </w:r>
      <w:r w:rsidR="00C45605">
        <w:rPr>
          <w:rFonts w:ascii="Arial" w:hAnsi="Arial" w:cs="Arial"/>
        </w:rPr>
        <w:t xml:space="preserve">to </w:t>
      </w:r>
      <w:r w:rsidRPr="00355D41">
        <w:rPr>
          <w:rFonts w:ascii="Arial" w:hAnsi="Arial" w:cs="Arial"/>
        </w:rPr>
        <w:t>more clearly reflect the economic realities of the retirement obligations associated with long-lived assets. The changes are particularly significant for capital-intensive companies such as SoCalGas and SDG&amp;E.  With the long-term business tr</w:t>
      </w:r>
      <w:r w:rsidR="00C45605">
        <w:rPr>
          <w:rFonts w:ascii="Arial" w:hAnsi="Arial" w:cs="Arial"/>
        </w:rPr>
        <w:t>end toward a more balance-sheet-</w:t>
      </w:r>
      <w:r w:rsidRPr="00355D41">
        <w:rPr>
          <w:rFonts w:ascii="Arial" w:hAnsi="Arial" w:cs="Arial"/>
        </w:rPr>
        <w:t>oriented focus in accounting, FASB has fixed its attention on how entities account for obligations associated with the retirement of tangible long-lived assets</w:t>
      </w:r>
      <w:r w:rsidR="00C45605">
        <w:rPr>
          <w:rFonts w:ascii="Arial" w:hAnsi="Arial" w:cs="Arial"/>
        </w:rPr>
        <w:t>.</w:t>
      </w:r>
      <w:r>
        <w:rPr>
          <w:rStyle w:val="FootnoteReference"/>
          <w:rFonts w:ascii="Arial" w:hAnsi="Arial" w:cs="Arial"/>
        </w:rPr>
        <w:footnoteReference w:id="3"/>
      </w:r>
      <w:r w:rsidRPr="00355D41">
        <w:rPr>
          <w:rFonts w:ascii="Arial" w:hAnsi="Arial" w:cs="Arial"/>
        </w:rPr>
        <w:t xml:space="preserve"> </w:t>
      </w:r>
      <w:r w:rsidR="00C45605">
        <w:rPr>
          <w:rFonts w:ascii="Arial" w:hAnsi="Arial" w:cs="Arial"/>
        </w:rPr>
        <w:t xml:space="preserve"> </w:t>
      </w:r>
      <w:r w:rsidRPr="00355D41">
        <w:rPr>
          <w:rFonts w:ascii="Arial" w:hAnsi="Arial" w:cs="Arial"/>
        </w:rPr>
        <w:t>SDG&amp;E and SoCalGas have complied with this accounting requirement in their FERC Form</w:t>
      </w:r>
      <w:r w:rsidR="00C45605">
        <w:rPr>
          <w:rFonts w:ascii="Arial" w:hAnsi="Arial" w:cs="Arial"/>
        </w:rPr>
        <w:t>s</w:t>
      </w:r>
      <w:r w:rsidRPr="00355D41">
        <w:rPr>
          <w:rFonts w:ascii="Arial" w:hAnsi="Arial" w:cs="Arial"/>
        </w:rPr>
        <w:t xml:space="preserve"> 1 and 2, respectively.  Therefore, the allocation factors used by SoCalGas and SDG&amp;E are consistent with their annual reports filed with the CPUC.  </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1</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For each utility, please identify the amount of customer advances for construction that are related to (a) transmission and (b) distribution.</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1</w:t>
      </w:r>
      <w:r w:rsidRPr="00F759E8">
        <w:rPr>
          <w:rFonts w:ascii="Arial" w:hAnsi="Arial" w:cs="Arial"/>
          <w:b/>
          <w:u w:val="single"/>
        </w:rPr>
        <w:t>:</w:t>
      </w:r>
    </w:p>
    <w:p w:rsidR="00F67377" w:rsidRDefault="00F67377" w:rsidP="005C6E7A">
      <w:pPr>
        <w:rPr>
          <w:rFonts w:ascii="Arial" w:hAnsi="Arial" w:cs="Arial"/>
          <w:sz w:val="28"/>
          <w:szCs w:val="28"/>
        </w:rPr>
      </w:pPr>
    </w:p>
    <w:p w:rsidR="00503D25" w:rsidRPr="00634903" w:rsidRDefault="00C45605" w:rsidP="00503D25">
      <w:pPr>
        <w:rPr>
          <w:rFonts w:ascii="Arial" w:hAnsi="Arial" w:cs="Arial"/>
        </w:rPr>
      </w:pPr>
      <w:r>
        <w:rPr>
          <w:rFonts w:ascii="Arial" w:hAnsi="Arial" w:cs="Arial"/>
        </w:rPr>
        <w:t>As of December 31, 20</w:t>
      </w:r>
      <w:r w:rsidR="00503D25" w:rsidRPr="00634903">
        <w:rPr>
          <w:rFonts w:ascii="Arial" w:hAnsi="Arial" w:cs="Arial"/>
        </w:rPr>
        <w:t>13</w:t>
      </w:r>
      <w:r w:rsidR="00503D25" w:rsidRPr="00634903">
        <w:t xml:space="preserve"> </w:t>
      </w:r>
      <w:r w:rsidR="00503D25" w:rsidRPr="00634903">
        <w:rPr>
          <w:rFonts w:ascii="Arial" w:hAnsi="Arial" w:cs="Arial"/>
        </w:rPr>
        <w:t>customer advances for construction were:</w:t>
      </w:r>
    </w:p>
    <w:p w:rsidR="00503D25" w:rsidRPr="00634903" w:rsidRDefault="00503D25" w:rsidP="00503D25">
      <w:pPr>
        <w:rPr>
          <w:rFonts w:ascii="Arial" w:hAnsi="Arial" w:cs="Arial"/>
        </w:rPr>
      </w:pPr>
    </w:p>
    <w:p w:rsidR="00503D25" w:rsidRPr="00634903" w:rsidRDefault="00503D25" w:rsidP="00503D25">
      <w:pPr>
        <w:rPr>
          <w:rFonts w:ascii="Arial" w:hAnsi="Arial" w:cs="Arial"/>
        </w:rPr>
      </w:pPr>
      <w:r w:rsidRPr="00634903">
        <w:rPr>
          <w:rFonts w:ascii="Arial" w:hAnsi="Arial" w:cs="Arial"/>
        </w:rPr>
        <w:t>SoCalGas’ Transmission = $</w:t>
      </w:r>
      <w:r w:rsidRPr="00634903">
        <w:t xml:space="preserve"> </w:t>
      </w:r>
      <w:r w:rsidRPr="00634903">
        <w:rPr>
          <w:rFonts w:ascii="Arial" w:hAnsi="Arial" w:cs="Arial"/>
        </w:rPr>
        <w:t>8,421,213</w:t>
      </w:r>
    </w:p>
    <w:p w:rsidR="00503D25" w:rsidRPr="00634903" w:rsidRDefault="00503D25" w:rsidP="00503D25">
      <w:pPr>
        <w:rPr>
          <w:rFonts w:ascii="Arial" w:hAnsi="Arial" w:cs="Arial"/>
        </w:rPr>
      </w:pPr>
    </w:p>
    <w:p w:rsidR="00503D25" w:rsidRPr="00634903" w:rsidRDefault="000B0B0D" w:rsidP="00503D25">
      <w:pPr>
        <w:rPr>
          <w:rFonts w:ascii="Arial" w:hAnsi="Arial" w:cs="Arial"/>
        </w:rPr>
      </w:pPr>
      <w:r>
        <w:rPr>
          <w:rFonts w:ascii="Arial" w:hAnsi="Arial" w:cs="Arial"/>
        </w:rPr>
        <w:t>SoCalGas’ Distribution</w:t>
      </w:r>
      <w:r w:rsidR="00503D25" w:rsidRPr="00634903">
        <w:rPr>
          <w:rFonts w:ascii="Arial" w:hAnsi="Arial" w:cs="Arial"/>
        </w:rPr>
        <w:t xml:space="preserve"> = $ 110,535,869</w:t>
      </w:r>
    </w:p>
    <w:p w:rsidR="00503D25" w:rsidRPr="00634903" w:rsidRDefault="00503D25" w:rsidP="00503D25">
      <w:pPr>
        <w:rPr>
          <w:rFonts w:ascii="Arial" w:hAnsi="Arial" w:cs="Arial"/>
        </w:rPr>
      </w:pPr>
    </w:p>
    <w:p w:rsidR="00503D25" w:rsidRPr="00634903" w:rsidRDefault="00503D25" w:rsidP="00503D25">
      <w:pPr>
        <w:rPr>
          <w:rFonts w:ascii="Arial" w:hAnsi="Arial" w:cs="Arial"/>
        </w:rPr>
      </w:pPr>
      <w:r w:rsidRPr="00634903">
        <w:rPr>
          <w:rFonts w:ascii="Arial" w:hAnsi="Arial" w:cs="Arial"/>
        </w:rPr>
        <w:t>SDG&amp;E’s Transmission = $ 0</w:t>
      </w:r>
    </w:p>
    <w:p w:rsidR="00503D25" w:rsidRPr="00634903" w:rsidRDefault="00503D25" w:rsidP="00503D25">
      <w:pPr>
        <w:rPr>
          <w:rFonts w:ascii="Arial" w:hAnsi="Arial" w:cs="Arial"/>
        </w:rPr>
      </w:pPr>
    </w:p>
    <w:p w:rsidR="00503D25" w:rsidRPr="00634903" w:rsidRDefault="000B0B0D" w:rsidP="00503D25">
      <w:pPr>
        <w:rPr>
          <w:rFonts w:ascii="Arial" w:hAnsi="Arial" w:cs="Arial"/>
        </w:rPr>
      </w:pPr>
      <w:r>
        <w:rPr>
          <w:rFonts w:ascii="Arial" w:hAnsi="Arial" w:cs="Arial"/>
        </w:rPr>
        <w:t>SSDG&amp;E’s Distribution</w:t>
      </w:r>
      <w:r w:rsidR="00503D25" w:rsidRPr="00634903">
        <w:rPr>
          <w:rFonts w:ascii="Arial" w:hAnsi="Arial" w:cs="Arial"/>
        </w:rPr>
        <w:t xml:space="preserve"> = $1,726,914</w: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2</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Please confirm that the income taxes included in the embedded cost study for SoCalGas are only current income taxes and do not include deferred income taxes that are also part of a utility’s revenue requirement.</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F67377" w:rsidRPr="00503D25" w:rsidRDefault="005C5F4B" w:rsidP="005C6E7A">
      <w:pPr>
        <w:rPr>
          <w:rFonts w:ascii="Arial" w:hAnsi="Arial" w:cs="Arial"/>
          <w:szCs w:val="28"/>
        </w:rPr>
      </w:pPr>
      <w:r>
        <w:rPr>
          <w:rFonts w:ascii="Arial" w:hAnsi="Arial" w:cs="Arial"/>
          <w:szCs w:val="28"/>
        </w:rPr>
        <w:t>See Response 15.</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3</w:t>
      </w:r>
      <w:r w:rsidRPr="00F759E8">
        <w:rPr>
          <w:rFonts w:ascii="Arial" w:hAnsi="Arial" w:cs="Arial"/>
          <w:b/>
          <w:u w:val="single"/>
        </w:rPr>
        <w:t>:</w:t>
      </w:r>
    </w:p>
    <w:p w:rsidR="00F67377" w:rsidRPr="0031141C"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Please provide deferred income tax expenses in 2013.</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Pr="00503D25" w:rsidRDefault="005C5F4B" w:rsidP="005C6E7A">
      <w:pPr>
        <w:rPr>
          <w:rFonts w:ascii="Arial" w:hAnsi="Arial" w:cs="Arial"/>
          <w:szCs w:val="28"/>
        </w:rPr>
      </w:pPr>
      <w:r>
        <w:rPr>
          <w:rFonts w:ascii="Arial" w:hAnsi="Arial" w:cs="Arial"/>
          <w:szCs w:val="28"/>
        </w:rPr>
        <w:t>Total deferred income tax expense recorded in 2013 is $116,940,231.</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4</w:t>
      </w:r>
      <w:r w:rsidRPr="00F759E8">
        <w:rPr>
          <w:rFonts w:ascii="Arial" w:hAnsi="Arial" w:cs="Arial"/>
          <w:b/>
          <w:u w:val="single"/>
        </w:rPr>
        <w:t>:</w:t>
      </w:r>
    </w:p>
    <w:p w:rsidR="00582C14" w:rsidRPr="0031141C" w:rsidRDefault="00582C14"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Please confirm that by not including deferred income taxes in the transmission revenue requirement, those deferred income taxes will be collected as part of the revenue requirement in distribution rates.  If this is incorrect, please identify the amount of deferred income taxes that are in the transmission revenue requirement, and explain in detail how this amount was calculated.</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4</w:t>
      </w:r>
      <w:r w:rsidRPr="00F759E8">
        <w:rPr>
          <w:rFonts w:ascii="Arial" w:hAnsi="Arial" w:cs="Arial"/>
          <w:b/>
          <w:u w:val="single"/>
        </w:rPr>
        <w:t>:</w:t>
      </w:r>
    </w:p>
    <w:p w:rsidR="00F67377" w:rsidRDefault="00F67377" w:rsidP="005C6E7A">
      <w:pPr>
        <w:rPr>
          <w:rFonts w:ascii="Arial" w:hAnsi="Arial" w:cs="Arial"/>
          <w:sz w:val="28"/>
          <w:szCs w:val="28"/>
        </w:rPr>
      </w:pPr>
    </w:p>
    <w:p w:rsidR="00D3638B" w:rsidRPr="00D3638B" w:rsidRDefault="00D3638B" w:rsidP="00503D25">
      <w:pPr>
        <w:rPr>
          <w:rFonts w:ascii="Arial" w:hAnsi="Arial" w:cs="Arial"/>
          <w:color w:val="FF0000"/>
        </w:rPr>
      </w:pPr>
      <w:r w:rsidRPr="00D3638B">
        <w:rPr>
          <w:rFonts w:ascii="Arial" w:hAnsi="Arial" w:cs="Arial"/>
          <w:color w:val="FF0000"/>
        </w:rPr>
        <w:t>Corrected Response March 10, 2016</w:t>
      </w:r>
    </w:p>
    <w:p w:rsidR="00D3638B" w:rsidRDefault="00D3638B" w:rsidP="00503D25">
      <w:pPr>
        <w:rPr>
          <w:rFonts w:ascii="Arial" w:hAnsi="Arial" w:cs="Arial"/>
        </w:rPr>
      </w:pPr>
    </w:p>
    <w:p w:rsidR="00503D25" w:rsidRDefault="00503D25" w:rsidP="00503D25">
      <w:pPr>
        <w:rPr>
          <w:rFonts w:ascii="Arial" w:hAnsi="Arial" w:cs="Arial"/>
        </w:rPr>
      </w:pPr>
      <w:r w:rsidRPr="00BD310D">
        <w:rPr>
          <w:rFonts w:ascii="Arial" w:hAnsi="Arial" w:cs="Arial"/>
        </w:rPr>
        <w:t xml:space="preserve">They </w:t>
      </w:r>
      <w:r w:rsidR="000B0B0D">
        <w:rPr>
          <w:rFonts w:ascii="Arial" w:hAnsi="Arial" w:cs="Arial"/>
        </w:rPr>
        <w:t>would be allocated through</w:t>
      </w:r>
      <w:r w:rsidRPr="00BD310D">
        <w:rPr>
          <w:rFonts w:ascii="Arial" w:hAnsi="Arial" w:cs="Arial"/>
        </w:rPr>
        <w:t xml:space="preserve"> scalar.</w:t>
      </w:r>
      <w:r>
        <w:rPr>
          <w:rFonts w:ascii="Arial" w:hAnsi="Arial" w:cs="Arial"/>
        </w:rPr>
        <w:t xml:space="preserve">  </w:t>
      </w:r>
      <w:r w:rsidR="00E9002B">
        <w:rPr>
          <w:rFonts w:ascii="Arial" w:hAnsi="Arial" w:cs="Arial"/>
        </w:rPr>
        <w:t>For informational purposes only, the attached table includes deferred income taxes in the transmission revenue requirement.</w:t>
      </w:r>
    </w:p>
    <w:p w:rsidR="005C5F4B" w:rsidRDefault="005C5F4B" w:rsidP="00503D25">
      <w:pPr>
        <w:rPr>
          <w:rFonts w:ascii="Arial" w:hAnsi="Arial" w:cs="Arial"/>
        </w:rPr>
      </w:pPr>
    </w:p>
    <w:p w:rsidR="005C5F4B" w:rsidRPr="00BD310D" w:rsidRDefault="000807BB" w:rsidP="005C5F4B">
      <w:pPr>
        <w:rPr>
          <w:rFonts w:ascii="Arial" w:hAnsi="Arial" w:cs="Arial"/>
        </w:rPr>
      </w:pPr>
      <w:r>
        <w:rPr>
          <w:rFonts w:ascii="Arial" w:hAnsi="Arial" w:cs="Arial"/>
        </w:rPr>
        <w:object w:dxaOrig="1551" w:dyaOrig="991">
          <v:shape id="_x0000_i1027" type="#_x0000_t75" style="width:77.65pt;height:49.45pt" o:ole="">
            <v:imagedata r:id="rId13" o:title=""/>
          </v:shape>
          <o:OLEObject Type="Embed" ProgID="Excel.Sheet.12" ShapeID="_x0000_i1027" DrawAspect="Icon" ObjectID="_1519128181" r:id="rId14"/>
        </w:object>
      </w:r>
    </w:p>
    <w:p w:rsidR="005C5F4B" w:rsidRPr="00BD310D" w:rsidRDefault="005C5F4B" w:rsidP="00503D25">
      <w:pPr>
        <w:rPr>
          <w:rFonts w:ascii="Arial" w:hAnsi="Arial" w:cs="Arial"/>
        </w:rPr>
      </w:pPr>
    </w:p>
    <w:p w:rsidR="00F67377" w:rsidRPr="00503D25" w:rsidRDefault="00F67377" w:rsidP="005C6E7A">
      <w:pPr>
        <w:rPr>
          <w:rFonts w:ascii="Arial" w:hAnsi="Arial" w:cs="Arial"/>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5</w:t>
      </w:r>
      <w:r w:rsidRPr="00F759E8">
        <w:rPr>
          <w:rFonts w:ascii="Arial" w:hAnsi="Arial" w:cs="Arial"/>
          <w:b/>
          <w:u w:val="single"/>
        </w:rPr>
        <w:t>:</w:t>
      </w:r>
    </w:p>
    <w:p w:rsidR="00F67377" w:rsidRDefault="00F67377" w:rsidP="00F67377">
      <w:pPr>
        <w:rPr>
          <w:rFonts w:ascii="Arial" w:hAnsi="Arial" w:cs="Arial"/>
        </w:rPr>
      </w:pPr>
    </w:p>
    <w:p w:rsidR="00CF542E" w:rsidRPr="00A5194E" w:rsidRDefault="00CF542E" w:rsidP="00CF542E">
      <w:pPr>
        <w:pStyle w:val="ListParagraph"/>
        <w:spacing w:before="0" w:beforeAutospacing="0" w:after="240" w:afterAutospacing="0"/>
        <w:rPr>
          <w:rFonts w:ascii="Arial" w:hAnsi="Arial" w:cs="Arial"/>
        </w:rPr>
      </w:pPr>
      <w:r w:rsidRPr="00A5194E">
        <w:rPr>
          <w:rFonts w:ascii="Arial" w:hAnsi="Arial" w:cs="Arial"/>
        </w:rPr>
        <w:t>Please reconcile the FERC Form 2 income tax expenses for SoCalGas (Fung Workpaper 13</w:t>
      </w:r>
      <w:r w:rsidRPr="00A5194E">
        <w:rPr>
          <w:rFonts w:ascii="Arial" w:hAnsi="Arial" w:cs="Arial"/>
          <w:vertAlign w:val="superscript"/>
        </w:rPr>
        <w:t>th</w:t>
      </w:r>
      <w:r w:rsidRPr="00A5194E">
        <w:rPr>
          <w:rFonts w:ascii="Arial" w:hAnsi="Arial" w:cs="Arial"/>
        </w:rPr>
        <w:t xml:space="preserve"> unnumbered pages) of negative $31,888,000 with the 2013 recorded data shown in the Testimony of Ragan Reeves in A. 14-11-003 (Exhibit SCG-28 page RGR-15) of positive $28,164,000.  Is Mr. Reeves’ calculation of recorded income taxes for SoCal what is referred to as “income taxes for ratemaking” in Ms. Fung’s workpaper for SDG&amp;E (16</w:t>
      </w:r>
      <w:r w:rsidRPr="00A5194E">
        <w:rPr>
          <w:rFonts w:ascii="Arial" w:hAnsi="Arial" w:cs="Arial"/>
          <w:vertAlign w:val="superscript"/>
        </w:rPr>
        <w:t>th</w:t>
      </w:r>
      <w:r w:rsidRPr="00A5194E">
        <w:rPr>
          <w:rFonts w:ascii="Arial" w:hAnsi="Arial" w:cs="Arial"/>
        </w:rPr>
        <w:t xml:space="preserve"> unnumbered page).  If not, please provide the calculation and identify the source for that calculation.</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5</w:t>
      </w:r>
      <w:r w:rsidRPr="00F759E8">
        <w:rPr>
          <w:rFonts w:ascii="Arial" w:hAnsi="Arial" w:cs="Arial"/>
          <w:b/>
          <w:u w:val="single"/>
        </w:rPr>
        <w:t>:</w:t>
      </w:r>
    </w:p>
    <w:p w:rsidR="00F67377" w:rsidRDefault="00F67377" w:rsidP="005C6E7A">
      <w:pPr>
        <w:rPr>
          <w:rFonts w:ascii="Arial" w:hAnsi="Arial" w:cs="Arial"/>
          <w:sz w:val="28"/>
          <w:szCs w:val="28"/>
        </w:rPr>
      </w:pPr>
    </w:p>
    <w:p w:rsidR="00503D25" w:rsidRPr="00503D25" w:rsidRDefault="005C5F4B" w:rsidP="00503D25">
      <w:pPr>
        <w:rPr>
          <w:rFonts w:ascii="Arial" w:hAnsi="Arial" w:cs="Arial"/>
          <w:szCs w:val="28"/>
        </w:rPr>
      </w:pPr>
      <w:r w:rsidRPr="001316FD">
        <w:rPr>
          <w:rFonts w:ascii="Arial" w:hAnsi="Arial" w:cs="Arial"/>
        </w:rPr>
        <w:t>The $31,888,000 mentioned in question 15 is made up of federal and state income tax cash refunds received during 2013 and is not related to income tax expenses accrued during the year.  The $28,164,000 referred to above in Mr. Reeves’ testimony relates to the 2013 federal income tax expense accrued during the year.  The two amounts are unrelated and thus cannot be compared. In addition, the $28,164,000 is being pulled from Mr. Reeves’ original superseded Application and therefore does not reflect the updated federal income tax expense amount for 2013 that is shown in Mr. Reeves’ testimony fro</w:t>
      </w:r>
      <w:r w:rsidR="00C45605">
        <w:rPr>
          <w:rFonts w:ascii="Arial" w:hAnsi="Arial" w:cs="Arial"/>
        </w:rPr>
        <w:t>m the revised Application</w:t>
      </w:r>
      <w:r w:rsidRPr="001316FD">
        <w:rPr>
          <w:rFonts w:ascii="Arial" w:hAnsi="Arial" w:cs="Arial"/>
        </w:rPr>
        <w:t>.</w: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F67377" w:rsidRPr="0031141C" w:rsidRDefault="001622DB" w:rsidP="00F67377">
      <w:pPr>
        <w:rPr>
          <w:rFonts w:ascii="Arial" w:hAnsi="Arial" w:cs="Arial"/>
        </w:rPr>
      </w:pPr>
      <w:r w:rsidRPr="00A5194E">
        <w:rPr>
          <w:rFonts w:ascii="Arial" w:hAnsi="Arial" w:cs="Arial"/>
        </w:rPr>
        <w:t>Please confirm that Mr. Reeves originally forecast an increase in federal income tax to $98,667,000 by 2016 on page RGR-15 of Exhibit SCG-28, and confirm that under SoCal’s TCAP methodology, 100% of the difference between negative $31,888,000 and positive $98,667,000 would be assigned to distribution rates. If this is incorrect, please explain how the difference would be treated under the utilities’ proposal</w:t>
      </w:r>
    </w:p>
    <w:p w:rsidR="00F67377" w:rsidRPr="0031141C" w:rsidRDefault="00F67377" w:rsidP="00F67377">
      <w:pPr>
        <w:rPr>
          <w:rFonts w:ascii="Arial" w:hAnsi="Arial" w:cs="Arial"/>
        </w:rPr>
      </w:pPr>
    </w:p>
    <w:p w:rsidR="001622DB" w:rsidRDefault="001622DB"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6</w:t>
      </w:r>
      <w:r w:rsidRPr="00F759E8">
        <w:rPr>
          <w:rFonts w:ascii="Arial" w:hAnsi="Arial" w:cs="Arial"/>
          <w:b/>
          <w:u w:val="single"/>
        </w:rPr>
        <w:t>:</w:t>
      </w:r>
    </w:p>
    <w:p w:rsidR="00F67377" w:rsidRDefault="00F67377" w:rsidP="005C6E7A">
      <w:pPr>
        <w:rPr>
          <w:rFonts w:ascii="Arial" w:hAnsi="Arial" w:cs="Arial"/>
          <w:sz w:val="28"/>
          <w:szCs w:val="28"/>
        </w:rPr>
      </w:pPr>
    </w:p>
    <w:p w:rsidR="00503D25" w:rsidRPr="0087171E" w:rsidRDefault="00503D25" w:rsidP="00503D25">
      <w:pPr>
        <w:rPr>
          <w:rFonts w:ascii="Arial" w:hAnsi="Arial" w:cs="Arial"/>
        </w:rPr>
      </w:pPr>
      <w:r w:rsidRPr="0087171E">
        <w:rPr>
          <w:rFonts w:ascii="Arial" w:hAnsi="Arial" w:cs="Arial"/>
        </w:rPr>
        <w:t>See Response 14.</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7</w:t>
      </w:r>
      <w:r w:rsidRPr="00F759E8">
        <w:rPr>
          <w:rFonts w:ascii="Arial" w:hAnsi="Arial" w:cs="Arial"/>
          <w:b/>
          <w:u w:val="single"/>
        </w:rPr>
        <w:t>:</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Are there differences in the source of data used to derive “income taxes for ratemaking” included for SDG&amp;E on the 16</w:t>
      </w:r>
      <w:r w:rsidRPr="00A5194E">
        <w:rPr>
          <w:rFonts w:ascii="Arial" w:hAnsi="Arial" w:cs="Arial"/>
          <w:vertAlign w:val="superscript"/>
        </w:rPr>
        <w:t>th</w:t>
      </w:r>
      <w:r w:rsidRPr="00A5194E">
        <w:rPr>
          <w:rFonts w:ascii="Arial" w:hAnsi="Arial" w:cs="Arial"/>
        </w:rPr>
        <w:t xml:space="preserve"> unnumbered page and the income taxes used for SoCalGas on the 13</w:t>
      </w:r>
      <w:r w:rsidRPr="00A5194E">
        <w:rPr>
          <w:rFonts w:ascii="Arial" w:hAnsi="Arial" w:cs="Arial"/>
          <w:vertAlign w:val="superscript"/>
        </w:rPr>
        <w:t>th</w:t>
      </w:r>
      <w:r w:rsidRPr="00A5194E">
        <w:rPr>
          <w:rFonts w:ascii="Arial" w:hAnsi="Arial" w:cs="Arial"/>
        </w:rPr>
        <w:t xml:space="preserve"> unnumbered page?  If so, please identify and describe in detail each difference</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503D25" w:rsidRPr="00634903" w:rsidRDefault="005C5F4B" w:rsidP="00503D25">
      <w:pPr>
        <w:rPr>
          <w:rFonts w:ascii="Arial" w:hAnsi="Arial" w:cs="Arial"/>
        </w:rPr>
      </w:pPr>
      <w:r>
        <w:rPr>
          <w:rFonts w:ascii="Arial" w:hAnsi="Arial" w:cs="Arial"/>
        </w:rPr>
        <w:t>See Response 14.</w: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8</w:t>
      </w:r>
      <w:r w:rsidRPr="00F759E8">
        <w:rPr>
          <w:rFonts w:ascii="Arial" w:hAnsi="Arial" w:cs="Arial"/>
          <w:b/>
          <w:u w:val="single"/>
        </w:rPr>
        <w:t>:</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Please explain why the SDG&amp;E “income tax used for ratemaking” used by Ms. Fung ($14,223,000 on the 16</w:t>
      </w:r>
      <w:r w:rsidRPr="00A5194E">
        <w:rPr>
          <w:rFonts w:ascii="Arial" w:hAnsi="Arial" w:cs="Arial"/>
          <w:vertAlign w:val="superscript"/>
        </w:rPr>
        <w:t>th</w:t>
      </w:r>
      <w:r w:rsidRPr="00A5194E">
        <w:rPr>
          <w:rFonts w:ascii="Arial" w:hAnsi="Arial" w:cs="Arial"/>
        </w:rPr>
        <w:t xml:space="preserve"> unnumbered page) is only $339,000 different from Mr. Reeves’ 2013 recorded figure for gas distribution ($14,662,000 on SDG&amp;E-29, page RGR-19), while there is a difference of approximately $60 million for SoCalGas between Ms. Fung and Mr. Reeves.</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8</w:t>
      </w:r>
      <w:r w:rsidRPr="00F759E8">
        <w:rPr>
          <w:rFonts w:ascii="Arial" w:hAnsi="Arial" w:cs="Arial"/>
          <w:b/>
          <w:u w:val="single"/>
        </w:rPr>
        <w:t>:</w:t>
      </w:r>
    </w:p>
    <w:p w:rsidR="00F67377" w:rsidRDefault="00F67377" w:rsidP="005C6E7A">
      <w:pPr>
        <w:rPr>
          <w:rFonts w:ascii="Arial" w:hAnsi="Arial" w:cs="Arial"/>
          <w:sz w:val="28"/>
          <w:szCs w:val="28"/>
        </w:rPr>
      </w:pPr>
    </w:p>
    <w:p w:rsidR="00503D25" w:rsidRPr="0087171E" w:rsidRDefault="005C5F4B" w:rsidP="00503D25">
      <w:pPr>
        <w:rPr>
          <w:rFonts w:ascii="Arial" w:hAnsi="Arial" w:cs="Arial"/>
        </w:rPr>
      </w:pPr>
      <w:r>
        <w:rPr>
          <w:rFonts w:ascii="Arial" w:hAnsi="Arial" w:cs="Arial"/>
        </w:rPr>
        <w:t>See R</w:t>
      </w:r>
      <w:r w:rsidR="00503D25" w:rsidRPr="0087171E">
        <w:rPr>
          <w:rFonts w:ascii="Arial" w:hAnsi="Arial" w:cs="Arial"/>
        </w:rPr>
        <w:t>esponse 1</w:t>
      </w:r>
      <w:r>
        <w:rPr>
          <w:rFonts w:ascii="Arial" w:hAnsi="Arial" w:cs="Arial"/>
        </w:rPr>
        <w:t>4</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9</w:t>
      </w:r>
      <w:r w:rsidRPr="00F759E8">
        <w:rPr>
          <w:rFonts w:ascii="Arial" w:hAnsi="Arial" w:cs="Arial"/>
          <w:b/>
          <w:u w:val="single"/>
        </w:rPr>
        <w:t>:</w:t>
      </w:r>
    </w:p>
    <w:p w:rsidR="00F67377" w:rsidRPr="0031141C" w:rsidRDefault="00F67377" w:rsidP="00F67377">
      <w:pPr>
        <w:rPr>
          <w:rFonts w:ascii="Arial" w:hAnsi="Arial" w:cs="Arial"/>
        </w:rPr>
      </w:pPr>
    </w:p>
    <w:p w:rsidR="001622DB" w:rsidRPr="00A5194E" w:rsidRDefault="001622DB" w:rsidP="000F55F5">
      <w:pPr>
        <w:pStyle w:val="ListParagraph"/>
        <w:numPr>
          <w:ilvl w:val="0"/>
          <w:numId w:val="1"/>
        </w:numPr>
        <w:spacing w:before="0" w:beforeAutospacing="0" w:after="240" w:afterAutospacing="0"/>
        <w:ind w:left="0" w:firstLine="0"/>
        <w:rPr>
          <w:rFonts w:ascii="Arial" w:hAnsi="Arial" w:cs="Arial"/>
        </w:rPr>
      </w:pPr>
      <w:r w:rsidRPr="00A5194E">
        <w:rPr>
          <w:rFonts w:ascii="Arial" w:hAnsi="Arial" w:cs="Arial"/>
        </w:rPr>
        <w:t>Please respond to the following questions regarding the 50% functionalized A&amp;G percentage for both SoCalGas and SDG&amp;E in the embedded cost study:</w:t>
      </w:r>
    </w:p>
    <w:p w:rsidR="001622DB" w:rsidRPr="00A5194E" w:rsidRDefault="001622DB" w:rsidP="000F55F5">
      <w:pPr>
        <w:pStyle w:val="ListParagraph"/>
        <w:numPr>
          <w:ilvl w:val="1"/>
          <w:numId w:val="1"/>
        </w:numPr>
        <w:spacing w:before="0" w:beforeAutospacing="0" w:after="240" w:afterAutospacing="0"/>
        <w:rPr>
          <w:rFonts w:ascii="Arial" w:hAnsi="Arial" w:cs="Arial"/>
        </w:rPr>
      </w:pPr>
      <w:r w:rsidRPr="00A5194E">
        <w:rPr>
          <w:rFonts w:ascii="Arial" w:hAnsi="Arial" w:cs="Arial"/>
        </w:rPr>
        <w:t xml:space="preserve">Referring to the Testimony of Ms. Fung at page 5, which shows the labor factors used for transmission and storage, please explain why SoCalGas did not simply assign 12.5% of A&amp;G and general plant costs to transmission and storage but instead allocated only half that amount (- 6.24%) of marginal A&amp;G and general plant costs to transmission and storage.  </w:t>
      </w:r>
    </w:p>
    <w:p w:rsidR="001622DB" w:rsidRPr="00A5194E" w:rsidRDefault="001622DB" w:rsidP="000F55F5">
      <w:pPr>
        <w:pStyle w:val="ListParagraph"/>
        <w:numPr>
          <w:ilvl w:val="1"/>
          <w:numId w:val="1"/>
        </w:numPr>
        <w:spacing w:before="0" w:beforeAutospacing="0" w:after="240" w:afterAutospacing="0"/>
        <w:rPr>
          <w:rFonts w:ascii="Arial" w:hAnsi="Arial" w:cs="Arial"/>
        </w:rPr>
      </w:pPr>
      <w:r w:rsidRPr="00A5194E">
        <w:rPr>
          <w:rFonts w:ascii="Arial" w:hAnsi="Arial" w:cs="Arial"/>
        </w:rPr>
        <w:t xml:space="preserve">Provide specific documentation supporting the 50% reduction factor for functionalized A&amp;G.  </w:t>
      </w:r>
    </w:p>
    <w:p w:rsidR="001622DB" w:rsidRPr="00A5194E" w:rsidRDefault="001622DB" w:rsidP="000F55F5">
      <w:pPr>
        <w:pStyle w:val="ListParagraph"/>
        <w:numPr>
          <w:ilvl w:val="1"/>
          <w:numId w:val="1"/>
        </w:numPr>
        <w:spacing w:before="0" w:beforeAutospacing="0" w:after="240" w:afterAutospacing="0"/>
        <w:rPr>
          <w:rFonts w:ascii="Arial" w:hAnsi="Arial" w:cs="Arial"/>
        </w:rPr>
      </w:pPr>
      <w:r w:rsidRPr="00A5194E">
        <w:rPr>
          <w:rFonts w:ascii="Arial" w:hAnsi="Arial" w:cs="Arial"/>
        </w:rPr>
        <w:t>Does that factor effectively assign 50% of A&amp;G costs that would otherwise be allocated to transmission and storage to gas distribution?  If not, please explain where the 50% of A&amp;G costs not allocated to transmission and storage are effectively assigned under SoCalGas’ approach.</w:t>
      </w:r>
    </w:p>
    <w:p w:rsidR="001622DB" w:rsidRPr="00A5194E" w:rsidRDefault="001622DB" w:rsidP="000F55F5">
      <w:pPr>
        <w:pStyle w:val="ListParagraph"/>
        <w:numPr>
          <w:ilvl w:val="1"/>
          <w:numId w:val="1"/>
        </w:numPr>
        <w:spacing w:before="0" w:beforeAutospacing="0" w:after="240" w:afterAutospacing="0"/>
        <w:rPr>
          <w:rFonts w:ascii="Arial" w:hAnsi="Arial" w:cs="Arial"/>
        </w:rPr>
      </w:pPr>
      <w:r w:rsidRPr="00A5194E">
        <w:rPr>
          <w:rFonts w:ascii="Arial" w:hAnsi="Arial" w:cs="Arial"/>
        </w:rPr>
        <w:t>Does SoCalGas contend that it is reasonable for SoCalGas to assign 50% of the employee-related pensions, benefits, payroll taxes, and workers compensation expenses for employees who are working directly on gas transmission and storage issues as distribution-related costs? If the response is anything other than an unqualified negative, please provide a detailed explanation of why such an assignment is consistent with cost causation.</w:t>
      </w:r>
    </w:p>
    <w:p w:rsidR="001622DB" w:rsidRPr="00A5194E" w:rsidRDefault="001622DB" w:rsidP="000F55F5">
      <w:pPr>
        <w:pStyle w:val="ListParagraph"/>
        <w:numPr>
          <w:ilvl w:val="1"/>
          <w:numId w:val="1"/>
        </w:numPr>
        <w:spacing w:before="0" w:beforeAutospacing="0" w:after="240" w:afterAutospacing="0"/>
        <w:rPr>
          <w:rFonts w:ascii="Arial" w:hAnsi="Arial" w:cs="Arial"/>
        </w:rPr>
      </w:pPr>
      <w:r w:rsidRPr="00A5194E">
        <w:rPr>
          <w:rFonts w:ascii="Arial" w:hAnsi="Arial" w:cs="Arial"/>
        </w:rPr>
        <w:t>If the answer to any of the four preceding questions is in any way different for SDG&amp;E as to the basis for the 50% reduction or any other related issues in A&amp;G allocation, please explain why SDG&amp;E is in a different position from SoCal.</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9</w:t>
      </w:r>
      <w:r w:rsidRPr="00F759E8">
        <w:rPr>
          <w:rFonts w:ascii="Arial" w:hAnsi="Arial" w:cs="Arial"/>
          <w:b/>
          <w:u w:val="single"/>
        </w:rPr>
        <w:t>:</w:t>
      </w:r>
    </w:p>
    <w:p w:rsidR="00503D25" w:rsidRDefault="00503D25" w:rsidP="000F55F5">
      <w:pPr>
        <w:pStyle w:val="ListParagraph"/>
        <w:numPr>
          <w:ilvl w:val="0"/>
          <w:numId w:val="10"/>
        </w:numPr>
        <w:rPr>
          <w:rFonts w:ascii="Arial" w:hAnsi="Arial" w:cs="Arial"/>
        </w:rPr>
      </w:pPr>
      <w:r w:rsidRPr="00057322">
        <w:rPr>
          <w:rFonts w:ascii="Arial" w:hAnsi="Arial" w:cs="Arial"/>
        </w:rPr>
        <w:t>This is consistent with D.09-11-006, 2009 BCAP Phase 2</w:t>
      </w:r>
      <w:r>
        <w:rPr>
          <w:rFonts w:ascii="Arial" w:hAnsi="Arial" w:cs="Arial"/>
        </w:rPr>
        <w:t>,</w:t>
      </w:r>
      <w:r w:rsidRPr="00057322">
        <w:rPr>
          <w:rFonts w:ascii="Arial" w:hAnsi="Arial" w:cs="Arial"/>
        </w:rPr>
        <w:t xml:space="preserve"> Appendix A</w:t>
      </w:r>
      <w:r>
        <w:rPr>
          <w:rFonts w:ascii="Arial" w:hAnsi="Arial" w:cs="Arial"/>
        </w:rPr>
        <w:t>,</w:t>
      </w:r>
      <w:r w:rsidRPr="00057322">
        <w:rPr>
          <w:rFonts w:ascii="Arial" w:hAnsi="Arial" w:cs="Arial"/>
        </w:rPr>
        <w:t xml:space="preserve"> Settlement Agreement, Section II.B.2.A</w:t>
      </w:r>
      <w:r>
        <w:rPr>
          <w:rFonts w:ascii="Arial" w:hAnsi="Arial" w:cs="Arial"/>
        </w:rPr>
        <w:t>.</w:t>
      </w:r>
      <w:r w:rsidRPr="00057322">
        <w:rPr>
          <w:rFonts w:ascii="Arial" w:hAnsi="Arial" w:cs="Arial"/>
        </w:rPr>
        <w:t xml:space="preserve"> </w:t>
      </w:r>
      <w:proofErr w:type="gramStart"/>
      <w:r>
        <w:rPr>
          <w:rFonts w:ascii="Arial" w:hAnsi="Arial" w:cs="Arial"/>
        </w:rPr>
        <w:t>and</w:t>
      </w:r>
      <w:proofErr w:type="gramEnd"/>
      <w:r>
        <w:rPr>
          <w:rFonts w:ascii="Arial" w:hAnsi="Arial" w:cs="Arial"/>
        </w:rPr>
        <w:t xml:space="preserve"> D.14-06-007.</w:t>
      </w:r>
    </w:p>
    <w:p w:rsidR="00503D25" w:rsidRDefault="00503D25" w:rsidP="000F55F5">
      <w:pPr>
        <w:pStyle w:val="ListParagraph"/>
        <w:numPr>
          <w:ilvl w:val="0"/>
          <w:numId w:val="10"/>
        </w:numPr>
        <w:rPr>
          <w:rFonts w:ascii="Arial" w:hAnsi="Arial" w:cs="Arial"/>
        </w:rPr>
      </w:pPr>
      <w:r>
        <w:rPr>
          <w:rFonts w:ascii="Arial" w:hAnsi="Arial" w:cs="Arial"/>
        </w:rPr>
        <w:t>See Response 19(a).</w:t>
      </w:r>
    </w:p>
    <w:p w:rsidR="00503D25" w:rsidRDefault="000B0B0D" w:rsidP="000F55F5">
      <w:pPr>
        <w:pStyle w:val="ListParagraph"/>
        <w:numPr>
          <w:ilvl w:val="0"/>
          <w:numId w:val="10"/>
        </w:numPr>
        <w:rPr>
          <w:rFonts w:ascii="Arial" w:hAnsi="Arial" w:cs="Arial"/>
        </w:rPr>
      </w:pPr>
      <w:r>
        <w:rPr>
          <w:rFonts w:ascii="Arial" w:hAnsi="Arial" w:cs="Arial"/>
        </w:rPr>
        <w:t>They would be allocated through scalar</w:t>
      </w:r>
      <w:r w:rsidR="00503D25">
        <w:rPr>
          <w:rFonts w:ascii="Arial" w:hAnsi="Arial" w:cs="Arial"/>
        </w:rPr>
        <w:t>.</w:t>
      </w:r>
    </w:p>
    <w:p w:rsidR="00503D25" w:rsidRPr="0048085B" w:rsidRDefault="00503D25" w:rsidP="000F55F5">
      <w:pPr>
        <w:pStyle w:val="ListParagraph"/>
        <w:numPr>
          <w:ilvl w:val="0"/>
          <w:numId w:val="10"/>
        </w:numPr>
        <w:rPr>
          <w:rFonts w:ascii="Arial" w:hAnsi="Arial" w:cs="Arial"/>
        </w:rPr>
      </w:pPr>
      <w:r>
        <w:rPr>
          <w:rFonts w:ascii="Arial" w:hAnsi="Arial" w:cs="Arial"/>
        </w:rPr>
        <w:t xml:space="preserve">Yes.  </w:t>
      </w:r>
      <w:r w:rsidRPr="0048085B">
        <w:rPr>
          <w:rFonts w:ascii="Arial" w:hAnsi="Arial" w:cs="Arial"/>
        </w:rPr>
        <w:t>See Response 19(a).</w:t>
      </w:r>
    </w:p>
    <w:p w:rsidR="00F67377" w:rsidRPr="00503D25" w:rsidRDefault="00503D25" w:rsidP="000F55F5">
      <w:pPr>
        <w:pStyle w:val="ListParagraph"/>
        <w:numPr>
          <w:ilvl w:val="0"/>
          <w:numId w:val="10"/>
        </w:numPr>
        <w:rPr>
          <w:rFonts w:ascii="Arial" w:hAnsi="Arial" w:cs="Arial"/>
          <w:b/>
          <w:u w:val="single"/>
        </w:rPr>
      </w:pPr>
      <w:r w:rsidRPr="00503D25">
        <w:rPr>
          <w:rFonts w:ascii="Arial" w:hAnsi="Arial" w:cs="Arial"/>
        </w:rPr>
        <w:t>Not applicable.</w:t>
      </w:r>
      <w:r w:rsidR="00F67377" w:rsidRPr="00503D25">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503D25">
        <w:rPr>
          <w:rFonts w:ascii="Arial" w:hAnsi="Arial" w:cs="Arial"/>
          <w:b/>
          <w:u w:val="single"/>
        </w:rPr>
        <w:t>QUESTION 20:</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Do the capital costs and/or installation costs of meters for SoCalGas presented in the marginal cost study include the costs of Automatic Meter Infrastructure (AMI)?  If so, what are those costs?</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20</w:t>
      </w:r>
      <w:r w:rsidRPr="00F759E8">
        <w:rPr>
          <w:rFonts w:ascii="Arial" w:hAnsi="Arial" w:cs="Arial"/>
          <w:b/>
          <w:u w:val="single"/>
        </w:rPr>
        <w:t>:</w:t>
      </w:r>
    </w:p>
    <w:p w:rsidR="008F1DD5" w:rsidRDefault="008F1DD5" w:rsidP="00F67377">
      <w:pPr>
        <w:rPr>
          <w:rFonts w:ascii="Arial" w:hAnsi="Arial" w:cs="Arial"/>
          <w:sz w:val="28"/>
          <w:szCs w:val="28"/>
        </w:rPr>
      </w:pPr>
    </w:p>
    <w:p w:rsidR="00A85689" w:rsidRDefault="008F1DD5" w:rsidP="00F67377">
      <w:pPr>
        <w:rPr>
          <w:rFonts w:ascii="Arial" w:hAnsi="Arial" w:cs="Arial"/>
          <w:b/>
          <w:u w:val="single"/>
        </w:rPr>
      </w:pPr>
      <w:r>
        <w:rPr>
          <w:rFonts w:ascii="Arial" w:hAnsi="Arial" w:cs="Arial"/>
        </w:rPr>
        <w:t>No.</w:t>
      </w:r>
      <w:r w:rsidR="00F67377">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503D25">
        <w:rPr>
          <w:rFonts w:ascii="Arial" w:hAnsi="Arial" w:cs="Arial"/>
          <w:b/>
          <w:u w:val="single"/>
        </w:rPr>
        <w:t>QUESTION 21:</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Provide the following information monthly from 2012 through the latest available month in 2015 for SoCalGas:</w:t>
      </w:r>
    </w:p>
    <w:p w:rsidR="001622DB" w:rsidRPr="00A5194E" w:rsidRDefault="001622DB" w:rsidP="000F55F5">
      <w:pPr>
        <w:pStyle w:val="ListParagraph"/>
        <w:numPr>
          <w:ilvl w:val="0"/>
          <w:numId w:val="3"/>
        </w:numPr>
        <w:spacing w:before="0" w:beforeAutospacing="0" w:after="240" w:afterAutospacing="0"/>
        <w:ind w:left="0" w:firstLine="0"/>
        <w:rPr>
          <w:rFonts w:ascii="Arial" w:hAnsi="Arial" w:cs="Arial"/>
        </w:rPr>
      </w:pPr>
      <w:r w:rsidRPr="00A5194E">
        <w:rPr>
          <w:rFonts w:ascii="Arial" w:hAnsi="Arial" w:cs="Arial"/>
        </w:rPr>
        <w:t>Number of meters read manually</w:t>
      </w:r>
    </w:p>
    <w:p w:rsidR="001622DB" w:rsidRPr="00A5194E" w:rsidRDefault="001622DB" w:rsidP="000F55F5">
      <w:pPr>
        <w:pStyle w:val="ListParagraph"/>
        <w:numPr>
          <w:ilvl w:val="0"/>
          <w:numId w:val="3"/>
        </w:numPr>
        <w:spacing w:before="0" w:beforeAutospacing="0" w:after="240" w:afterAutospacing="0"/>
        <w:ind w:left="0" w:firstLine="0"/>
        <w:rPr>
          <w:rFonts w:ascii="Arial" w:hAnsi="Arial" w:cs="Arial"/>
        </w:rPr>
      </w:pPr>
      <w:r w:rsidRPr="00A5194E">
        <w:rPr>
          <w:rFonts w:ascii="Arial" w:hAnsi="Arial" w:cs="Arial"/>
        </w:rPr>
        <w:t>Number of meter readers (full-time equivalent)</w:t>
      </w:r>
    </w:p>
    <w:p w:rsidR="001622DB" w:rsidRPr="00A5194E" w:rsidRDefault="001622DB" w:rsidP="000F55F5">
      <w:pPr>
        <w:pStyle w:val="ListParagraph"/>
        <w:numPr>
          <w:ilvl w:val="0"/>
          <w:numId w:val="4"/>
        </w:numPr>
        <w:spacing w:before="0" w:beforeAutospacing="0" w:after="240" w:afterAutospacing="0"/>
        <w:ind w:left="720" w:hanging="720"/>
        <w:rPr>
          <w:rFonts w:ascii="Arial" w:hAnsi="Arial" w:cs="Arial"/>
        </w:rPr>
      </w:pPr>
      <w:r w:rsidRPr="00A5194E">
        <w:rPr>
          <w:rFonts w:ascii="Arial" w:hAnsi="Arial" w:cs="Arial"/>
        </w:rPr>
        <w:t>Costs booked to FERC Account 902, divided into labor and non-labor, and divided into the FERC sub-accounts used by SoCalGas.</w:t>
      </w:r>
    </w:p>
    <w:p w:rsidR="001622DB" w:rsidRPr="00A5194E" w:rsidRDefault="001622DB" w:rsidP="000F55F5">
      <w:pPr>
        <w:pStyle w:val="ListParagraph"/>
        <w:numPr>
          <w:ilvl w:val="0"/>
          <w:numId w:val="4"/>
        </w:numPr>
        <w:spacing w:before="0" w:beforeAutospacing="0" w:after="240" w:afterAutospacing="0"/>
        <w:ind w:left="720" w:hanging="720"/>
        <w:rPr>
          <w:rFonts w:ascii="Arial" w:hAnsi="Arial" w:cs="Arial"/>
        </w:rPr>
      </w:pPr>
      <w:r w:rsidRPr="00A5194E">
        <w:rPr>
          <w:rFonts w:ascii="Arial" w:hAnsi="Arial" w:cs="Arial"/>
        </w:rPr>
        <w:t>A definition of each FERC sub-account used by SoCalGas (e.g., 902, 902.2, 902,125, 902.5 and any other sub-accounts used by SoCalGas).</w:t>
      </w:r>
    </w:p>
    <w:p w:rsidR="00F67377" w:rsidRPr="0031141C" w:rsidRDefault="00F67377" w:rsidP="00F67377">
      <w:pPr>
        <w:rPr>
          <w:rFonts w:ascii="Arial" w:hAnsi="Arial" w:cs="Arial"/>
        </w:rPr>
      </w:pPr>
    </w:p>
    <w:p w:rsidR="00F67377" w:rsidRDefault="00F67377" w:rsidP="00BC23DE">
      <w:pPr>
        <w:rPr>
          <w:rFonts w:ascii="Arial" w:hAnsi="Arial" w:cs="Arial"/>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1:</w:t>
      </w:r>
      <w:r w:rsidR="00862118">
        <w:rPr>
          <w:rFonts w:ascii="Arial" w:hAnsi="Arial" w:cs="Arial"/>
          <w:b/>
          <w:u w:val="single"/>
        </w:rPr>
        <w:t xml:space="preserve"> </w:t>
      </w:r>
    </w:p>
    <w:p w:rsidR="00BC23DE" w:rsidRDefault="00BC23DE" w:rsidP="00BC23DE">
      <w:pPr>
        <w:rPr>
          <w:rFonts w:ascii="Arial" w:hAnsi="Arial" w:cs="Arial"/>
        </w:rPr>
      </w:pPr>
    </w:p>
    <w:p w:rsidR="000F55F5" w:rsidRDefault="000F55F5" w:rsidP="000F55F5">
      <w:pPr>
        <w:pStyle w:val="ListParagraph"/>
        <w:numPr>
          <w:ilvl w:val="0"/>
          <w:numId w:val="24"/>
        </w:numPr>
        <w:rPr>
          <w:rFonts w:ascii="Arial" w:hAnsi="Arial" w:cs="Arial"/>
        </w:rPr>
      </w:pPr>
      <w:r w:rsidRPr="00A25142">
        <w:rPr>
          <w:rFonts w:ascii="Arial" w:hAnsi="Arial" w:cs="Arial"/>
        </w:rPr>
        <w:t>The total number of meters for which we completed a manual meter read from 2012 through 2015 by month can be found in the attached excel spreadsheet.</w:t>
      </w:r>
    </w:p>
    <w:bookmarkStart w:id="0" w:name="_MON_1517919498"/>
    <w:bookmarkEnd w:id="0"/>
    <w:p w:rsidR="000F55F5" w:rsidRPr="00A25142" w:rsidRDefault="000F55F5" w:rsidP="000F55F5">
      <w:pPr>
        <w:pStyle w:val="ListParagraph"/>
        <w:ind w:left="630"/>
        <w:rPr>
          <w:rFonts w:ascii="Arial" w:hAnsi="Arial" w:cs="Arial"/>
        </w:rPr>
      </w:pPr>
      <w:r w:rsidRPr="00A25142">
        <w:rPr>
          <w:rFonts w:ascii="Arial" w:hAnsi="Arial" w:cs="Arial"/>
        </w:rPr>
        <w:object w:dxaOrig="2040" w:dyaOrig="1339">
          <v:shape id="_x0000_i1028" type="#_x0000_t75" style="width:102.05pt;height:67pt" o:ole="">
            <v:imagedata r:id="rId15" o:title=""/>
          </v:shape>
          <o:OLEObject Type="Embed" ProgID="Excel.Sheet.12" ShapeID="_x0000_i1028" DrawAspect="Icon" ObjectID="_1519128182" r:id="rId16"/>
        </w:object>
      </w:r>
    </w:p>
    <w:p w:rsidR="000F55F5" w:rsidRPr="00A25142" w:rsidRDefault="000F55F5" w:rsidP="000F55F5">
      <w:pPr>
        <w:pStyle w:val="ListParagraph"/>
        <w:numPr>
          <w:ilvl w:val="0"/>
          <w:numId w:val="24"/>
        </w:numPr>
        <w:rPr>
          <w:rFonts w:ascii="Arial" w:hAnsi="Arial" w:cs="Arial"/>
        </w:rPr>
      </w:pPr>
      <w:r w:rsidRPr="00A25142">
        <w:rPr>
          <w:rFonts w:ascii="Arial" w:hAnsi="Arial" w:cs="Arial"/>
        </w:rPr>
        <w:t>The total number of full-time equivalent meter readers from 2012 through 2015 by mont</w:t>
      </w:r>
      <w:r>
        <w:rPr>
          <w:rFonts w:ascii="Arial" w:hAnsi="Arial" w:cs="Arial"/>
        </w:rPr>
        <w:t>h can be found in the attached E</w:t>
      </w:r>
      <w:r w:rsidRPr="00A25142">
        <w:rPr>
          <w:rFonts w:ascii="Arial" w:hAnsi="Arial" w:cs="Arial"/>
        </w:rPr>
        <w:t xml:space="preserve">xcel spreadsheet in </w:t>
      </w:r>
      <w:r>
        <w:rPr>
          <w:rFonts w:ascii="Arial" w:hAnsi="Arial" w:cs="Arial"/>
        </w:rPr>
        <w:t>Response 21(</w:t>
      </w:r>
      <w:r w:rsidRPr="00A25142">
        <w:rPr>
          <w:rFonts w:ascii="Arial" w:hAnsi="Arial" w:cs="Arial"/>
        </w:rPr>
        <w:t>a</w:t>
      </w:r>
      <w:r>
        <w:rPr>
          <w:rFonts w:ascii="Arial" w:hAnsi="Arial" w:cs="Arial"/>
        </w:rPr>
        <w:t>)</w:t>
      </w:r>
      <w:r w:rsidRPr="00A25142">
        <w:rPr>
          <w:rFonts w:ascii="Arial" w:hAnsi="Arial" w:cs="Arial"/>
        </w:rPr>
        <w:t>.</w:t>
      </w:r>
    </w:p>
    <w:p w:rsidR="00907F59" w:rsidRDefault="00907F59" w:rsidP="000F55F5">
      <w:pPr>
        <w:pStyle w:val="ListParagraph"/>
        <w:numPr>
          <w:ilvl w:val="0"/>
          <w:numId w:val="24"/>
        </w:numPr>
        <w:rPr>
          <w:rFonts w:ascii="Arial" w:hAnsi="Arial" w:cs="Arial"/>
        </w:rPr>
      </w:pPr>
      <w:proofErr w:type="gramStart"/>
      <w:r>
        <w:rPr>
          <w:rFonts w:ascii="Arial" w:hAnsi="Arial" w:cs="Arial"/>
        </w:rPr>
        <w:t>and</w:t>
      </w:r>
      <w:proofErr w:type="gramEnd"/>
      <w:r>
        <w:rPr>
          <w:rFonts w:ascii="Arial" w:hAnsi="Arial" w:cs="Arial"/>
        </w:rPr>
        <w:t xml:space="preserve"> d) See the attached Excel spreadsheet.</w:t>
      </w:r>
      <w:r w:rsidRPr="00907F59">
        <w:rPr>
          <w:rFonts w:ascii="Arial" w:hAnsi="Arial" w:cs="Arial"/>
        </w:rPr>
        <w:t xml:space="preserve"> </w:t>
      </w:r>
    </w:p>
    <w:bookmarkStart w:id="1" w:name="_GoBack"/>
    <w:p w:rsidR="000F55F5" w:rsidRPr="00907F59" w:rsidRDefault="00553A2C" w:rsidP="00907F59">
      <w:pPr>
        <w:pStyle w:val="ListParagraph"/>
        <w:ind w:left="630"/>
        <w:rPr>
          <w:rFonts w:ascii="Arial" w:hAnsi="Arial" w:cs="Arial"/>
        </w:rPr>
      </w:pPr>
      <w:r>
        <w:object w:dxaOrig="2040" w:dyaOrig="1339">
          <v:shape id="_x0000_i1052" type="#_x0000_t75" style="width:102.05pt;height:67pt" o:ole="">
            <v:imagedata r:id="rId17" o:title=""/>
          </v:shape>
          <o:OLEObject Type="Embed" ProgID="Excel.Sheet.12" ShapeID="_x0000_i1052" DrawAspect="Icon" ObjectID="_1519128183" r:id="rId18"/>
        </w:object>
      </w:r>
      <w:bookmarkEnd w:id="1"/>
    </w:p>
    <w:p w:rsidR="00BC23DE" w:rsidRDefault="00BC23DE" w:rsidP="00BC23DE">
      <w:pPr>
        <w:rPr>
          <w:rFonts w:ascii="Arial" w:hAnsi="Arial" w:cs="Arial"/>
        </w:rPr>
      </w:pPr>
    </w:p>
    <w:p w:rsidR="00BC23DE" w:rsidRDefault="00BC23DE" w:rsidP="00BC23DE">
      <w:pPr>
        <w:rPr>
          <w:rFonts w:ascii="Arial" w:hAnsi="Arial" w:cs="Arial"/>
        </w:rPr>
      </w:pPr>
    </w:p>
    <w:p w:rsidR="00BC23DE" w:rsidRPr="00BC23DE" w:rsidRDefault="00BC23DE" w:rsidP="00BC23DE">
      <w:pPr>
        <w:rPr>
          <w:rFonts w:ascii="Arial" w:hAnsi="Arial" w:cs="Arial"/>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503D25">
        <w:rPr>
          <w:rFonts w:ascii="Arial" w:hAnsi="Arial" w:cs="Arial"/>
          <w:b/>
          <w:u w:val="single"/>
        </w:rPr>
        <w:t>QUESTION 22:</w:t>
      </w:r>
    </w:p>
    <w:p w:rsidR="001622DB" w:rsidRDefault="001622DB" w:rsidP="001622DB">
      <w:pPr>
        <w:pStyle w:val="ListParagraph"/>
        <w:spacing w:before="0" w:beforeAutospacing="0" w:after="240" w:afterAutospacing="0"/>
        <w:rPr>
          <w:rFonts w:ascii="Arial" w:hAnsi="Arial" w:cs="Arial"/>
        </w:rPr>
      </w:pPr>
    </w:p>
    <w:p w:rsidR="001622DB" w:rsidRPr="00823D98" w:rsidRDefault="001622DB" w:rsidP="00823D98">
      <w:pPr>
        <w:spacing w:after="240"/>
        <w:rPr>
          <w:rFonts w:ascii="Arial" w:hAnsi="Arial" w:cs="Arial"/>
        </w:rPr>
      </w:pPr>
      <w:r w:rsidRPr="00823D98">
        <w:rPr>
          <w:rFonts w:ascii="Arial" w:hAnsi="Arial" w:cs="Arial"/>
        </w:rPr>
        <w:t>Please provide the following statistics on gas distribution mains and services for SoCalGas at the end of the latest available year:</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steel distribution mains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steel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steel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plastic distribution mains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plastic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plastic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other distribution mains (e.g., cast iron)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miles of other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Number of other services by size of pipe.</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 xml:space="preserve">How many miles of gas main, </w:t>
      </w:r>
      <w:r w:rsidRPr="00A5194E">
        <w:rPr>
          <w:rFonts w:ascii="Arial" w:hAnsi="Arial" w:cs="Arial"/>
          <w:u w:val="single"/>
        </w:rPr>
        <w:t>divided into steel and plastic</w:t>
      </w:r>
      <w:r w:rsidRPr="00A5194E">
        <w:rPr>
          <w:rFonts w:ascii="Arial" w:hAnsi="Arial" w:cs="Arial"/>
        </w:rPr>
        <w:t>, are high pressure mains and how many are medium pressure mains?</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Please provide relevant Handy-Whitman price escalators for gas mains.</w:t>
      </w:r>
    </w:p>
    <w:p w:rsidR="001622DB" w:rsidRPr="00A5194E" w:rsidRDefault="001622DB" w:rsidP="000F55F5">
      <w:pPr>
        <w:pStyle w:val="ListParagraph"/>
        <w:numPr>
          <w:ilvl w:val="1"/>
          <w:numId w:val="11"/>
        </w:numPr>
        <w:spacing w:before="0" w:beforeAutospacing="0" w:after="240" w:afterAutospacing="0"/>
        <w:rPr>
          <w:rFonts w:ascii="Arial" w:hAnsi="Arial" w:cs="Arial"/>
        </w:rPr>
      </w:pPr>
      <w:r w:rsidRPr="00A5194E">
        <w:rPr>
          <w:rFonts w:ascii="Arial" w:hAnsi="Arial" w:cs="Arial"/>
        </w:rPr>
        <w:t>If available, please provide a data base showing the number of miles and cost of gas distribution mains currently in service by size and type of pipe installed in each year.</w:t>
      </w:r>
    </w:p>
    <w:p w:rsidR="00503D25" w:rsidRDefault="00503D25">
      <w:pPr>
        <w:rPr>
          <w:rFonts w:ascii="Arial" w:hAnsi="Arial" w:cs="Arial"/>
        </w:rPr>
      </w:pPr>
      <w:r>
        <w:rPr>
          <w:rFonts w:ascii="Arial" w:hAnsi="Arial" w:cs="Arial"/>
        </w:rPr>
        <w:br w:type="page"/>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22</w:t>
      </w:r>
      <w:r w:rsidRPr="00F759E8">
        <w:rPr>
          <w:rFonts w:ascii="Arial" w:hAnsi="Arial" w:cs="Arial"/>
          <w:b/>
          <w:u w:val="single"/>
        </w:rPr>
        <w:t>:</w:t>
      </w:r>
    </w:p>
    <w:p w:rsidR="001A6D58" w:rsidRPr="00077925" w:rsidRDefault="00077925" w:rsidP="000F55F5">
      <w:pPr>
        <w:pStyle w:val="ListParagraph"/>
        <w:numPr>
          <w:ilvl w:val="0"/>
          <w:numId w:val="8"/>
        </w:numPr>
        <w:rPr>
          <w:rFonts w:ascii="Arial" w:hAnsi="Arial" w:cs="Arial"/>
          <w:b/>
        </w:rPr>
      </w:pPr>
      <w:r>
        <w:rPr>
          <w:rFonts w:ascii="Arial" w:hAnsi="Arial" w:cs="Arial"/>
          <w:b/>
        </w:rPr>
        <w:t xml:space="preserve">- j) </w:t>
      </w:r>
      <w:r w:rsidRPr="00077925">
        <w:rPr>
          <w:rFonts w:ascii="Arial" w:hAnsi="Arial" w:cs="Arial"/>
        </w:rPr>
        <w:t xml:space="preserve">The </w:t>
      </w:r>
      <w:r>
        <w:rPr>
          <w:rFonts w:ascii="Arial" w:hAnsi="Arial" w:cs="Arial"/>
        </w:rPr>
        <w:t>a</w:t>
      </w:r>
      <w:r w:rsidR="001A6D58" w:rsidRPr="00077925">
        <w:rPr>
          <w:rFonts w:ascii="Arial" w:hAnsi="Arial" w:cs="Arial"/>
        </w:rPr>
        <w:t xml:space="preserve">ttached </w:t>
      </w:r>
      <w:r>
        <w:rPr>
          <w:rFonts w:ascii="Arial" w:hAnsi="Arial" w:cs="Arial"/>
        </w:rPr>
        <w:t xml:space="preserve">file contains </w:t>
      </w:r>
      <w:r w:rsidR="001A6D58" w:rsidRPr="00077925">
        <w:rPr>
          <w:rFonts w:ascii="Arial" w:hAnsi="Arial" w:cs="Arial"/>
        </w:rPr>
        <w:t xml:space="preserve">the </w:t>
      </w:r>
      <w:r>
        <w:rPr>
          <w:rFonts w:ascii="Arial" w:hAnsi="Arial" w:cs="Arial"/>
        </w:rPr>
        <w:t>request</w:t>
      </w:r>
      <w:r w:rsidR="004E362D">
        <w:rPr>
          <w:rFonts w:ascii="Arial" w:hAnsi="Arial" w:cs="Arial"/>
        </w:rPr>
        <w:t>ed</w:t>
      </w:r>
      <w:r>
        <w:rPr>
          <w:rFonts w:ascii="Arial" w:hAnsi="Arial" w:cs="Arial"/>
        </w:rPr>
        <w:t xml:space="preserve"> information at </w:t>
      </w:r>
      <w:r w:rsidR="004E362D">
        <w:rPr>
          <w:rFonts w:ascii="Arial" w:hAnsi="Arial" w:cs="Arial"/>
        </w:rPr>
        <w:t xml:space="preserve">the </w:t>
      </w:r>
      <w:r w:rsidR="00C553AB" w:rsidRPr="00077925">
        <w:rPr>
          <w:rFonts w:ascii="Arial" w:hAnsi="Arial" w:cs="Arial"/>
        </w:rPr>
        <w:t>end of Year 2014.</w:t>
      </w:r>
      <w:r w:rsidR="00392E1C">
        <w:rPr>
          <w:rFonts w:ascii="Arial" w:hAnsi="Arial" w:cs="Arial"/>
        </w:rPr>
        <w:t xml:space="preserve"> </w:t>
      </w:r>
    </w:p>
    <w:p w:rsidR="001A6D58" w:rsidRPr="001A6D58" w:rsidRDefault="00823D98" w:rsidP="001A6D58">
      <w:pPr>
        <w:rPr>
          <w:rFonts w:ascii="Arial" w:hAnsi="Arial" w:cs="Arial"/>
          <w:b/>
        </w:rPr>
      </w:pPr>
      <w:r w:rsidRPr="001A6D58">
        <w:rPr>
          <w:rFonts w:ascii="Arial" w:hAnsi="Arial" w:cs="Arial"/>
          <w:b/>
        </w:rPr>
        <w:object w:dxaOrig="2040" w:dyaOrig="1320">
          <v:shape id="_x0000_i1029" type="#_x0000_t75" style="width:102.05pt;height:65.1pt" o:ole="">
            <v:imagedata r:id="rId19" o:title=""/>
          </v:shape>
          <o:OLEObject Type="Embed" ProgID="Excel.Sheet.12" ShapeID="_x0000_i1029" DrawAspect="Icon" ObjectID="_1519128184" r:id="rId20"/>
        </w:object>
      </w:r>
    </w:p>
    <w:p w:rsidR="00E705AE" w:rsidRPr="00E705AE" w:rsidRDefault="002B2B09" w:rsidP="00823D98">
      <w:pPr>
        <w:ind w:firstLine="720"/>
        <w:rPr>
          <w:rFonts w:ascii="Arial" w:hAnsi="Arial" w:cs="Arial"/>
        </w:rPr>
      </w:pPr>
      <w:r>
        <w:rPr>
          <w:rFonts w:ascii="Arial" w:hAnsi="Arial" w:cs="Arial"/>
          <w:b/>
        </w:rPr>
        <w:t>k</w:t>
      </w:r>
      <w:r w:rsidR="00064921">
        <w:rPr>
          <w:rFonts w:ascii="Arial" w:hAnsi="Arial" w:cs="Arial"/>
          <w:b/>
        </w:rPr>
        <w:t xml:space="preserve">) </w:t>
      </w:r>
      <w:r w:rsidR="002D7F29">
        <w:rPr>
          <w:rFonts w:ascii="Arial" w:hAnsi="Arial" w:cs="Arial"/>
        </w:rPr>
        <w:t xml:space="preserve">The relevant </w:t>
      </w:r>
      <w:r w:rsidR="002D7F29" w:rsidRPr="00A5194E">
        <w:rPr>
          <w:rFonts w:ascii="Arial" w:hAnsi="Arial" w:cs="Arial"/>
        </w:rPr>
        <w:t>Handy-Whitman price escalators for gas mains</w:t>
      </w:r>
      <w:r w:rsidR="002D7F29">
        <w:rPr>
          <w:rFonts w:ascii="Arial" w:hAnsi="Arial" w:cs="Arial"/>
        </w:rPr>
        <w:t xml:space="preserve"> are attached here. </w:t>
      </w:r>
    </w:p>
    <w:p w:rsidR="00E705AE" w:rsidRDefault="00E705AE" w:rsidP="001A6D58">
      <w:pPr>
        <w:rPr>
          <w:rFonts w:ascii="Arial" w:hAnsi="Arial" w:cs="Arial"/>
        </w:rPr>
      </w:pPr>
    </w:p>
    <w:p w:rsidR="00064921" w:rsidRDefault="00503D25" w:rsidP="001A6D58">
      <w:pPr>
        <w:rPr>
          <w:rFonts w:ascii="Arial" w:hAnsi="Arial" w:cs="Arial"/>
        </w:rPr>
      </w:pPr>
      <w:r>
        <w:rPr>
          <w:rFonts w:ascii="Arial" w:hAnsi="Arial" w:cs="Arial"/>
        </w:rPr>
        <w:object w:dxaOrig="2040" w:dyaOrig="1339">
          <v:shape id="_x0000_i1030" type="#_x0000_t75" style="width:102.05pt;height:67pt" o:ole="">
            <v:imagedata r:id="rId21" o:title=""/>
          </v:shape>
          <o:OLEObject Type="Embed" ProgID="Acrobat.Document.11" ShapeID="_x0000_i1030" DrawAspect="Icon" ObjectID="_1519128185" r:id="rId22"/>
        </w:object>
      </w:r>
    </w:p>
    <w:p w:rsidR="00064921" w:rsidRDefault="00064921" w:rsidP="001A6D58">
      <w:pPr>
        <w:rPr>
          <w:rFonts w:ascii="Arial" w:hAnsi="Arial" w:cs="Arial"/>
          <w:b/>
        </w:rPr>
      </w:pPr>
    </w:p>
    <w:p w:rsidR="001612AC" w:rsidRDefault="002B2B09" w:rsidP="00823D98">
      <w:pPr>
        <w:ind w:firstLine="720"/>
        <w:rPr>
          <w:rFonts w:ascii="Arial" w:hAnsi="Arial" w:cs="Arial"/>
          <w:b/>
        </w:rPr>
      </w:pPr>
      <w:r>
        <w:rPr>
          <w:rFonts w:ascii="Arial" w:hAnsi="Arial" w:cs="Arial"/>
          <w:b/>
        </w:rPr>
        <w:t>l</w:t>
      </w:r>
      <w:r w:rsidR="00064921" w:rsidRPr="001612AC">
        <w:rPr>
          <w:rFonts w:ascii="Arial" w:hAnsi="Arial" w:cs="Arial"/>
          <w:b/>
        </w:rPr>
        <w:t xml:space="preserve">) </w:t>
      </w:r>
      <w:r w:rsidR="001612AC" w:rsidRPr="00064921">
        <w:rPr>
          <w:rFonts w:ascii="Arial" w:hAnsi="Arial" w:cs="Arial"/>
        </w:rPr>
        <w:t>Please see the attached file</w:t>
      </w:r>
      <w:r w:rsidR="009040CF">
        <w:rPr>
          <w:rFonts w:ascii="Arial" w:hAnsi="Arial" w:cs="Arial"/>
        </w:rPr>
        <w:t xml:space="preserve">. </w:t>
      </w:r>
      <w:r w:rsidR="001612AC" w:rsidRPr="001A6D58">
        <w:rPr>
          <w:rFonts w:ascii="Arial" w:hAnsi="Arial" w:cs="Arial"/>
          <w:b/>
        </w:rPr>
        <w:t xml:space="preserve"> </w:t>
      </w:r>
    </w:p>
    <w:bookmarkStart w:id="2" w:name="_MON_1517641803"/>
    <w:bookmarkEnd w:id="2"/>
    <w:p w:rsidR="00F67377" w:rsidRPr="001A6D58" w:rsidRDefault="00503D25" w:rsidP="001A6D58">
      <w:pPr>
        <w:rPr>
          <w:rFonts w:ascii="Arial" w:hAnsi="Arial" w:cs="Arial"/>
          <w:b/>
        </w:rPr>
      </w:pPr>
      <w:r w:rsidRPr="005840B4">
        <w:rPr>
          <w:rFonts w:ascii="Arial" w:hAnsi="Arial" w:cs="Arial"/>
          <w:b/>
        </w:rPr>
        <w:object w:dxaOrig="2040" w:dyaOrig="1320">
          <v:shape id="_x0000_i1031" type="#_x0000_t75" style="width:102.05pt;height:65.1pt" o:ole="">
            <v:imagedata r:id="rId23" o:title=""/>
          </v:shape>
          <o:OLEObject Type="Embed" ProgID="Excel.Sheet.12" ShapeID="_x0000_i1031" DrawAspect="Icon" ObjectID="_1519128186" r:id="rId24"/>
        </w:object>
      </w:r>
      <w:r w:rsidR="00F67377" w:rsidRPr="001A6D58">
        <w:rPr>
          <w:rFonts w:ascii="Arial" w:hAnsi="Arial" w:cs="Arial"/>
          <w:b/>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823D98">
        <w:rPr>
          <w:rFonts w:ascii="Arial" w:hAnsi="Arial" w:cs="Arial"/>
          <w:b/>
          <w:u w:val="single"/>
        </w:rPr>
        <w:t>QUESTION 23:</w:t>
      </w:r>
    </w:p>
    <w:p w:rsidR="00F67377" w:rsidRPr="0031141C" w:rsidRDefault="00F67377" w:rsidP="00F67377">
      <w:pPr>
        <w:rPr>
          <w:rFonts w:ascii="Arial" w:hAnsi="Arial" w:cs="Arial"/>
        </w:rPr>
      </w:pPr>
    </w:p>
    <w:p w:rsidR="001622DB" w:rsidRPr="00823D98" w:rsidRDefault="001622DB" w:rsidP="00823D98">
      <w:pPr>
        <w:spacing w:after="240"/>
        <w:rPr>
          <w:rFonts w:ascii="Arial" w:hAnsi="Arial" w:cs="Arial"/>
        </w:rPr>
      </w:pPr>
      <w:r w:rsidRPr="00823D98">
        <w:rPr>
          <w:rFonts w:ascii="Arial" w:hAnsi="Arial" w:cs="Arial"/>
        </w:rPr>
        <w:t>Please provide the following information on main and service replacement for SoCalGas:</w:t>
      </w:r>
    </w:p>
    <w:p w:rsidR="001622DB" w:rsidRPr="00A5194E" w:rsidRDefault="001622DB" w:rsidP="000F55F5">
      <w:pPr>
        <w:pStyle w:val="ListParagraph"/>
        <w:numPr>
          <w:ilvl w:val="1"/>
          <w:numId w:val="12"/>
        </w:numPr>
        <w:spacing w:before="0" w:beforeAutospacing="0" w:after="240" w:afterAutospacing="0"/>
        <w:rPr>
          <w:rFonts w:ascii="Arial" w:hAnsi="Arial" w:cs="Arial"/>
        </w:rPr>
      </w:pPr>
      <w:r w:rsidRPr="00A5194E">
        <w:rPr>
          <w:rFonts w:ascii="Arial" w:hAnsi="Arial" w:cs="Arial"/>
        </w:rPr>
        <w:t xml:space="preserve">Number of miles of gas distribution mains that have been replaced in each year from 2010-2014, that have been replaced in 2015 through the latest available month, and that are projected to be replaced in each year from 2015 to the end of the TY 2016 GRC cycle.  Divide by type of pipe.  </w:t>
      </w:r>
    </w:p>
    <w:p w:rsidR="001622DB" w:rsidRPr="00A5194E" w:rsidRDefault="001622DB" w:rsidP="000F55F5">
      <w:pPr>
        <w:pStyle w:val="ListParagraph"/>
        <w:numPr>
          <w:ilvl w:val="1"/>
          <w:numId w:val="12"/>
        </w:numPr>
        <w:spacing w:before="0" w:beforeAutospacing="0" w:after="240" w:afterAutospacing="0"/>
        <w:rPr>
          <w:rFonts w:ascii="Arial" w:hAnsi="Arial" w:cs="Arial"/>
        </w:rPr>
      </w:pPr>
      <w:r w:rsidRPr="00A5194E">
        <w:rPr>
          <w:rFonts w:ascii="Arial" w:hAnsi="Arial" w:cs="Arial"/>
        </w:rPr>
        <w:t>Total cost of main replacement in each year from 2010-2017, divided into O&amp;M and capital using recorded and projected data from above.</w:t>
      </w:r>
    </w:p>
    <w:p w:rsidR="001622DB" w:rsidRPr="00A5194E" w:rsidRDefault="001622DB" w:rsidP="000F55F5">
      <w:pPr>
        <w:pStyle w:val="ListParagraph"/>
        <w:numPr>
          <w:ilvl w:val="1"/>
          <w:numId w:val="12"/>
        </w:numPr>
        <w:spacing w:before="0" w:beforeAutospacing="0" w:after="240" w:afterAutospacing="0"/>
        <w:rPr>
          <w:rFonts w:ascii="Arial" w:hAnsi="Arial" w:cs="Arial"/>
        </w:rPr>
      </w:pPr>
      <w:r w:rsidRPr="00A5194E">
        <w:rPr>
          <w:rFonts w:ascii="Arial" w:hAnsi="Arial" w:cs="Arial"/>
        </w:rPr>
        <w:t xml:space="preserve">Number (or number of miles) of gas services that have been replaced in each year from 2006-2014, that have been replaced in 2015 through the latest available month, and that are projected to be replaced in each year from 2015 to the end of the TY 2016 GRC cycle.  Divide by size of pipe and pipe material to the extent that data are available.   </w:t>
      </w:r>
    </w:p>
    <w:p w:rsidR="001622DB" w:rsidRPr="00A5194E" w:rsidRDefault="001622DB" w:rsidP="000F55F5">
      <w:pPr>
        <w:pStyle w:val="ListParagraph"/>
        <w:numPr>
          <w:ilvl w:val="1"/>
          <w:numId w:val="12"/>
        </w:numPr>
        <w:spacing w:before="0" w:beforeAutospacing="0" w:after="240" w:afterAutospacing="0"/>
        <w:rPr>
          <w:rFonts w:ascii="Arial" w:hAnsi="Arial" w:cs="Arial"/>
        </w:rPr>
      </w:pPr>
      <w:r w:rsidRPr="00A5194E">
        <w:rPr>
          <w:rFonts w:ascii="Arial" w:hAnsi="Arial" w:cs="Arial"/>
        </w:rPr>
        <w:t>Total cost of service replacement in each year from 2010-2017, divided into O&amp;M and capital using recorded and projected data from above.</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23</w:t>
      </w:r>
      <w:r w:rsidRPr="00F759E8">
        <w:rPr>
          <w:rFonts w:ascii="Arial" w:hAnsi="Arial" w:cs="Arial"/>
          <w:b/>
          <w:u w:val="single"/>
        </w:rPr>
        <w:t>:</w:t>
      </w:r>
    </w:p>
    <w:p w:rsidR="00A85689" w:rsidRPr="00E705AE" w:rsidRDefault="00A85689" w:rsidP="00F67377">
      <w:pPr>
        <w:rPr>
          <w:rFonts w:ascii="Arial" w:hAnsi="Arial" w:cs="Arial"/>
          <w:color w:val="FF0000"/>
          <w:sz w:val="28"/>
          <w:szCs w:val="28"/>
        </w:rPr>
      </w:pPr>
    </w:p>
    <w:p w:rsidR="002A3935" w:rsidRPr="002A3935" w:rsidRDefault="002A3935" w:rsidP="002A3935">
      <w:pPr>
        <w:pStyle w:val="ListParagraph"/>
        <w:numPr>
          <w:ilvl w:val="0"/>
          <w:numId w:val="25"/>
        </w:numPr>
        <w:rPr>
          <w:rFonts w:ascii="Arial" w:hAnsi="Arial" w:cs="Arial"/>
          <w:b/>
          <w:u w:val="single"/>
        </w:rPr>
      </w:pPr>
      <w:r w:rsidRPr="002A3935">
        <w:rPr>
          <w:rFonts w:ascii="Arial" w:hAnsi="Arial" w:cs="Arial"/>
        </w:rPr>
        <w:t>The number of miles of replaced gas distribution mains by pipe size and material for the years 2010 to 2014 is presented in the attached excel file</w:t>
      </w:r>
      <w:r>
        <w:rPr>
          <w:rFonts w:ascii="Arial" w:hAnsi="Arial" w:cs="Arial"/>
        </w:rPr>
        <w:t xml:space="preserve"> below.  The data for 2015 is still being validated and is</w:t>
      </w:r>
      <w:r w:rsidRPr="002A3935">
        <w:rPr>
          <w:rFonts w:ascii="Arial" w:hAnsi="Arial" w:cs="Arial"/>
        </w:rPr>
        <w:t xml:space="preserve"> not </w:t>
      </w:r>
      <w:r>
        <w:rPr>
          <w:rFonts w:ascii="Arial" w:hAnsi="Arial" w:cs="Arial"/>
        </w:rPr>
        <w:t>available</w:t>
      </w:r>
      <w:r w:rsidRPr="002A3935">
        <w:rPr>
          <w:rFonts w:ascii="Arial" w:hAnsi="Arial" w:cs="Arial"/>
        </w:rPr>
        <w:t>.  Replacement distribution mains lengths are not projected for future years separately and, therefore, are not available.</w:t>
      </w:r>
    </w:p>
    <w:p w:rsidR="002A3935" w:rsidRDefault="002A3935" w:rsidP="002A3935">
      <w:pPr>
        <w:rPr>
          <w:rFonts w:ascii="Arial" w:hAnsi="Arial" w:cs="Arial"/>
          <w:b/>
          <w:u w:val="single"/>
        </w:rPr>
      </w:pPr>
    </w:p>
    <w:p w:rsidR="002A3935" w:rsidRDefault="002A3935" w:rsidP="002A3935">
      <w:pPr>
        <w:rPr>
          <w:rFonts w:ascii="Arial" w:hAnsi="Arial" w:cs="Arial"/>
          <w:b/>
          <w:u w:val="single"/>
        </w:rPr>
      </w:pPr>
      <w:r w:rsidRPr="002A3935">
        <w:rPr>
          <w:rFonts w:ascii="Arial" w:hAnsi="Arial" w:cs="Arial"/>
        </w:rPr>
        <w:object w:dxaOrig="2040" w:dyaOrig="1320">
          <v:shape id="_x0000_i1032" type="#_x0000_t75" style="width:102.05pt;height:65.75pt" o:ole="">
            <v:imagedata r:id="rId25" o:title=""/>
          </v:shape>
          <o:OLEObject Type="Embed" ProgID="Excel.Sheet.12" ShapeID="_x0000_i1032" DrawAspect="Icon" ObjectID="_1519128187" r:id="rId26"/>
        </w:object>
      </w:r>
    </w:p>
    <w:p w:rsidR="002A3935" w:rsidRDefault="002A3935" w:rsidP="002A3935">
      <w:pPr>
        <w:rPr>
          <w:rFonts w:ascii="Arial" w:hAnsi="Arial" w:cs="Arial"/>
          <w:b/>
          <w:u w:val="single"/>
        </w:rPr>
      </w:pPr>
    </w:p>
    <w:p w:rsidR="002A3935" w:rsidRDefault="002A3935" w:rsidP="002A3935">
      <w:pPr>
        <w:rPr>
          <w:rFonts w:ascii="Arial" w:hAnsi="Arial" w:cs="Arial"/>
          <w:b/>
          <w:u w:val="single"/>
        </w:rPr>
      </w:pPr>
    </w:p>
    <w:p w:rsidR="002A3935" w:rsidRDefault="002A3935" w:rsidP="002A3935">
      <w:pPr>
        <w:pStyle w:val="ListParagraph"/>
        <w:keepNext/>
        <w:keepLines/>
        <w:numPr>
          <w:ilvl w:val="0"/>
          <w:numId w:val="8"/>
        </w:numPr>
        <w:rPr>
          <w:rFonts w:ascii="Arial" w:hAnsi="Arial" w:cs="Arial"/>
        </w:rPr>
      </w:pPr>
      <w:r w:rsidRPr="002A3935">
        <w:rPr>
          <w:rFonts w:ascii="Arial" w:hAnsi="Arial" w:cs="Arial"/>
        </w:rPr>
        <w:lastRenderedPageBreak/>
        <w:t>The table below contains the capital costs for gas distribution mains replacement for the years 2010 through 2014.</w:t>
      </w:r>
    </w:p>
    <w:p w:rsidR="002A3935" w:rsidRDefault="002A3935" w:rsidP="002A3935">
      <w:pPr>
        <w:pStyle w:val="ListParagraph"/>
        <w:keepNext/>
        <w:keepLines/>
        <w:ind w:left="1080"/>
        <w:rPr>
          <w:rFonts w:ascii="Arial" w:hAnsi="Arial" w:cs="Arial"/>
        </w:rPr>
      </w:pPr>
      <w:r w:rsidRPr="002A3935">
        <w:rPr>
          <w:rFonts w:ascii="Arial" w:hAnsi="Arial" w:cs="Arial"/>
        </w:rPr>
        <w:t>The distribution mains replacement O&amp;M expenses are collected together with other distribution mains maintenance expenses, such as mains repairs, and are recorded in various O&amp;M accounts. In addition, these expenses are not separated by pipeline size or material. Because of the manner in which these expenses are accounted for, replacement expenses alone separated by size and material cannot be accurately determined.</w:t>
      </w:r>
    </w:p>
    <w:p w:rsidR="002A3935" w:rsidRPr="00751EAC" w:rsidRDefault="002A3935" w:rsidP="002A3935">
      <w:pPr>
        <w:pStyle w:val="ListParagraph"/>
        <w:keepNext/>
        <w:keepLines/>
        <w:ind w:left="1080"/>
        <w:rPr>
          <w:rFonts w:ascii="Arial" w:hAnsi="Arial" w:cs="Arial"/>
        </w:rPr>
      </w:pPr>
      <w:r>
        <w:rPr>
          <w:rFonts w:ascii="Arial" w:hAnsi="Arial" w:cs="Arial"/>
        </w:rPr>
        <w:t>Distribution mains r</w:t>
      </w:r>
      <w:r w:rsidRPr="002A3C1E">
        <w:rPr>
          <w:rFonts w:ascii="Arial" w:hAnsi="Arial" w:cs="Arial"/>
        </w:rPr>
        <w:t xml:space="preserve">eplacement costs are not projected </w:t>
      </w:r>
      <w:r>
        <w:rPr>
          <w:rFonts w:ascii="Arial" w:hAnsi="Arial" w:cs="Arial"/>
        </w:rPr>
        <w:t xml:space="preserve">separately </w:t>
      </w:r>
      <w:r w:rsidRPr="002A3C1E">
        <w:rPr>
          <w:rFonts w:ascii="Arial" w:hAnsi="Arial" w:cs="Arial"/>
        </w:rPr>
        <w:t>for future years</w:t>
      </w:r>
      <w:r>
        <w:rPr>
          <w:rFonts w:ascii="Arial" w:hAnsi="Arial" w:cs="Arial"/>
        </w:rPr>
        <w:t xml:space="preserve">; </w:t>
      </w:r>
      <w:r w:rsidRPr="002A3C1E">
        <w:rPr>
          <w:rFonts w:ascii="Arial" w:hAnsi="Arial" w:cs="Arial"/>
        </w:rPr>
        <w:t>therefore, they are not available.</w:t>
      </w:r>
    </w:p>
    <w:tbl>
      <w:tblPr>
        <w:tblpPr w:leftFromText="180" w:rightFromText="180" w:vertAnchor="text" w:horzAnchor="margin" w:tblpY="29"/>
        <w:tblW w:w="9800" w:type="dxa"/>
        <w:tblLook w:val="04A0" w:firstRow="1" w:lastRow="0" w:firstColumn="1" w:lastColumn="0" w:noHBand="0" w:noVBand="1"/>
      </w:tblPr>
      <w:tblGrid>
        <w:gridCol w:w="1200"/>
        <w:gridCol w:w="1720"/>
        <w:gridCol w:w="1720"/>
        <w:gridCol w:w="1720"/>
        <w:gridCol w:w="1720"/>
        <w:gridCol w:w="1720"/>
      </w:tblGrid>
      <w:tr w:rsidR="002A3935" w:rsidTr="004A5D75">
        <w:trPr>
          <w:trHeight w:val="300"/>
        </w:trPr>
        <w:tc>
          <w:tcPr>
            <w:tcW w:w="1200" w:type="dxa"/>
            <w:tcBorders>
              <w:top w:val="nil"/>
              <w:left w:val="nil"/>
              <w:bottom w:val="nil"/>
              <w:right w:val="nil"/>
            </w:tcBorders>
            <w:shd w:val="clear" w:color="auto" w:fill="auto"/>
            <w:noWrap/>
            <w:vAlign w:val="bottom"/>
            <w:hideMark/>
          </w:tcPr>
          <w:p w:rsidR="002A3935" w:rsidRDefault="002A3935" w:rsidP="004A5D75">
            <w:pPr>
              <w:rPr>
                <w:rFonts w:ascii="Calibri" w:hAnsi="Calibri"/>
                <w:color w:val="000000"/>
                <w:sz w:val="22"/>
                <w:szCs w:val="22"/>
              </w:rPr>
            </w:pPr>
          </w:p>
        </w:tc>
        <w:tc>
          <w:tcPr>
            <w:tcW w:w="8600" w:type="dxa"/>
            <w:gridSpan w:val="5"/>
            <w:tcBorders>
              <w:top w:val="nil"/>
              <w:left w:val="nil"/>
              <w:bottom w:val="nil"/>
              <w:right w:val="nil"/>
            </w:tcBorders>
            <w:shd w:val="clear" w:color="auto" w:fill="auto"/>
            <w:noWrap/>
            <w:vAlign w:val="bottom"/>
            <w:hideMark/>
          </w:tcPr>
          <w:p w:rsidR="002A3935" w:rsidRDefault="002A3935" w:rsidP="004A5D75">
            <w:pPr>
              <w:jc w:val="center"/>
              <w:rPr>
                <w:rFonts w:ascii="Calibri" w:hAnsi="Calibri"/>
                <w:color w:val="000000"/>
                <w:sz w:val="22"/>
                <w:szCs w:val="22"/>
              </w:rPr>
            </w:pPr>
            <w:r>
              <w:rPr>
                <w:rFonts w:ascii="Calibri" w:hAnsi="Calibri"/>
                <w:color w:val="000000"/>
                <w:sz w:val="22"/>
                <w:szCs w:val="22"/>
              </w:rPr>
              <w:t>Distribution Mains Replacement Capital Cost by Year</w:t>
            </w:r>
          </w:p>
        </w:tc>
      </w:tr>
      <w:tr w:rsidR="002A3935" w:rsidTr="004A5D7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Year</w:t>
            </w:r>
          </w:p>
        </w:tc>
        <w:tc>
          <w:tcPr>
            <w:tcW w:w="1720" w:type="dxa"/>
            <w:tcBorders>
              <w:top w:val="single" w:sz="4" w:space="0" w:color="auto"/>
              <w:left w:val="nil"/>
              <w:bottom w:val="nil"/>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2010</w:t>
            </w:r>
          </w:p>
        </w:tc>
        <w:tc>
          <w:tcPr>
            <w:tcW w:w="1720" w:type="dxa"/>
            <w:tcBorders>
              <w:top w:val="single" w:sz="4" w:space="0" w:color="auto"/>
              <w:left w:val="nil"/>
              <w:bottom w:val="nil"/>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2011</w:t>
            </w:r>
          </w:p>
        </w:tc>
        <w:tc>
          <w:tcPr>
            <w:tcW w:w="1720" w:type="dxa"/>
            <w:tcBorders>
              <w:top w:val="single" w:sz="4" w:space="0" w:color="auto"/>
              <w:left w:val="nil"/>
              <w:bottom w:val="nil"/>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2012</w:t>
            </w:r>
          </w:p>
        </w:tc>
        <w:tc>
          <w:tcPr>
            <w:tcW w:w="1720" w:type="dxa"/>
            <w:tcBorders>
              <w:top w:val="single" w:sz="4" w:space="0" w:color="auto"/>
              <w:left w:val="nil"/>
              <w:bottom w:val="nil"/>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2013</w:t>
            </w:r>
          </w:p>
        </w:tc>
        <w:tc>
          <w:tcPr>
            <w:tcW w:w="1720" w:type="dxa"/>
            <w:tcBorders>
              <w:top w:val="single" w:sz="4" w:space="0" w:color="auto"/>
              <w:left w:val="nil"/>
              <w:bottom w:val="nil"/>
              <w:right w:val="single" w:sz="4" w:space="0" w:color="auto"/>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2014</w:t>
            </w:r>
          </w:p>
        </w:tc>
      </w:tr>
      <w:tr w:rsidR="002A3935" w:rsidTr="004A5D7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Capital Cost</w:t>
            </w:r>
          </w:p>
        </w:tc>
        <w:tc>
          <w:tcPr>
            <w:tcW w:w="1720"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 xml:space="preserve"> $    108,119,150 </w:t>
            </w:r>
          </w:p>
        </w:tc>
        <w:tc>
          <w:tcPr>
            <w:tcW w:w="1720"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 xml:space="preserve"> $    109,103,418 </w:t>
            </w:r>
          </w:p>
        </w:tc>
        <w:tc>
          <w:tcPr>
            <w:tcW w:w="1720"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 xml:space="preserve"> $    120,099,842 </w:t>
            </w:r>
          </w:p>
        </w:tc>
        <w:tc>
          <w:tcPr>
            <w:tcW w:w="1720"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 xml:space="preserve"> $    118,714,151 </w:t>
            </w:r>
          </w:p>
        </w:tc>
        <w:tc>
          <w:tcPr>
            <w:tcW w:w="1720" w:type="dxa"/>
            <w:tcBorders>
              <w:top w:val="nil"/>
              <w:left w:val="nil"/>
              <w:bottom w:val="single" w:sz="4" w:space="0" w:color="auto"/>
              <w:right w:val="single" w:sz="4" w:space="0" w:color="auto"/>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 xml:space="preserve"> $    113,244,206 </w:t>
            </w:r>
          </w:p>
        </w:tc>
      </w:tr>
    </w:tbl>
    <w:p w:rsidR="002A3935" w:rsidRDefault="002A3935" w:rsidP="002A3935">
      <w:pPr>
        <w:rPr>
          <w:rFonts w:ascii="Arial" w:hAnsi="Arial" w:cs="Arial"/>
          <w:b/>
          <w:u w:val="single"/>
        </w:rPr>
      </w:pPr>
    </w:p>
    <w:p w:rsidR="002A3935" w:rsidRPr="006C7EE1" w:rsidRDefault="002A3935" w:rsidP="002A3935">
      <w:pPr>
        <w:rPr>
          <w:rFonts w:ascii="Arial" w:hAnsi="Arial" w:cs="Arial"/>
          <w:b/>
          <w:u w:val="single"/>
        </w:rPr>
      </w:pPr>
    </w:p>
    <w:p w:rsidR="002A3935" w:rsidRPr="002A3935" w:rsidRDefault="002A3935" w:rsidP="002A3935">
      <w:pPr>
        <w:pStyle w:val="ListParagraph"/>
        <w:numPr>
          <w:ilvl w:val="0"/>
          <w:numId w:val="8"/>
        </w:numPr>
        <w:rPr>
          <w:rFonts w:ascii="Arial" w:hAnsi="Arial" w:cs="Arial"/>
        </w:rPr>
      </w:pPr>
      <w:r w:rsidRPr="002A3935">
        <w:rPr>
          <w:rFonts w:ascii="Arial" w:hAnsi="Arial" w:cs="Arial"/>
        </w:rPr>
        <w:t>The number of miles of replaced gas service lines by pipe size and material for the years 2006 to 2015 is presented in the attached excel file below. Replacement service lengths are not projected for future years separately and therefore, are not available.</w:t>
      </w:r>
    </w:p>
    <w:bookmarkStart w:id="3" w:name="_MON_1518932924"/>
    <w:bookmarkEnd w:id="3"/>
    <w:p w:rsidR="002A3935" w:rsidRDefault="002A3935" w:rsidP="002A3935">
      <w:pPr>
        <w:rPr>
          <w:rFonts w:ascii="Arial" w:hAnsi="Arial" w:cs="Arial"/>
        </w:rPr>
      </w:pPr>
      <w:r>
        <w:rPr>
          <w:rFonts w:ascii="Arial" w:hAnsi="Arial" w:cs="Arial"/>
        </w:rPr>
        <w:object w:dxaOrig="1531" w:dyaOrig="990">
          <v:shape id="_x0000_i1033" type="#_x0000_t75" style="width:76.4pt;height:49.45pt" o:ole="">
            <v:imagedata r:id="rId27" o:title=""/>
          </v:shape>
          <o:OLEObject Type="Embed" ProgID="Excel.Sheet.12" ShapeID="_x0000_i1033" DrawAspect="Icon" ObjectID="_1519128188" r:id="rId28"/>
        </w:object>
      </w:r>
    </w:p>
    <w:p w:rsidR="002A3935" w:rsidRDefault="002A3935" w:rsidP="002A3935">
      <w:pPr>
        <w:rPr>
          <w:rFonts w:ascii="Arial" w:hAnsi="Arial" w:cs="Arial"/>
        </w:rPr>
      </w:pPr>
    </w:p>
    <w:p w:rsidR="002A3935" w:rsidRDefault="002A3935" w:rsidP="002A3935">
      <w:pPr>
        <w:pStyle w:val="ListParagraph"/>
        <w:keepNext/>
        <w:keepLines/>
        <w:numPr>
          <w:ilvl w:val="0"/>
          <w:numId w:val="8"/>
        </w:numPr>
        <w:rPr>
          <w:rFonts w:ascii="Arial" w:hAnsi="Arial" w:cs="Arial"/>
        </w:rPr>
      </w:pPr>
      <w:r w:rsidRPr="002A3935">
        <w:rPr>
          <w:rFonts w:ascii="Arial" w:hAnsi="Arial" w:cs="Arial"/>
        </w:rPr>
        <w:lastRenderedPageBreak/>
        <w:t>The table below contains the capital costs for service line replacement for the years 2010 through 2015.</w:t>
      </w:r>
    </w:p>
    <w:p w:rsidR="002A3935" w:rsidRDefault="002A3935" w:rsidP="002A3935">
      <w:pPr>
        <w:pStyle w:val="ListParagraph"/>
        <w:keepNext/>
        <w:keepLines/>
        <w:ind w:left="1080"/>
        <w:rPr>
          <w:rFonts w:ascii="Arial" w:hAnsi="Arial" w:cs="Arial"/>
        </w:rPr>
      </w:pPr>
      <w:r w:rsidRPr="002A3935">
        <w:rPr>
          <w:rFonts w:ascii="Arial" w:hAnsi="Arial" w:cs="Arial"/>
        </w:rPr>
        <w:t>The service line replacement O&amp;M expenses are collected together with other service maintenance expenses, such as service repairs, and are recorded in various O&amp;M accounts. In addition, these expenses are not separated by pipeline size or material. Because of the manner in which these expenses are accounted for, replacement expenses alone separated by size and material ca</w:t>
      </w:r>
      <w:r>
        <w:rPr>
          <w:rFonts w:ascii="Arial" w:hAnsi="Arial" w:cs="Arial"/>
        </w:rPr>
        <w:t>nnot be accurately determined.</w:t>
      </w:r>
    </w:p>
    <w:p w:rsidR="002A3935" w:rsidRPr="00751EAC" w:rsidRDefault="002A3935" w:rsidP="002A3935">
      <w:pPr>
        <w:pStyle w:val="ListParagraph"/>
        <w:keepNext/>
        <w:keepLines/>
        <w:ind w:left="1080"/>
        <w:rPr>
          <w:rFonts w:ascii="Arial" w:hAnsi="Arial" w:cs="Arial"/>
        </w:rPr>
      </w:pPr>
      <w:r>
        <w:rPr>
          <w:rFonts w:ascii="Arial" w:hAnsi="Arial" w:cs="Arial"/>
        </w:rPr>
        <w:t>Service line r</w:t>
      </w:r>
      <w:r w:rsidRPr="002A3C1E">
        <w:rPr>
          <w:rFonts w:ascii="Arial" w:hAnsi="Arial" w:cs="Arial"/>
        </w:rPr>
        <w:t xml:space="preserve">eplacement costs are not projected </w:t>
      </w:r>
      <w:r>
        <w:rPr>
          <w:rFonts w:ascii="Arial" w:hAnsi="Arial" w:cs="Arial"/>
        </w:rPr>
        <w:t xml:space="preserve">separately </w:t>
      </w:r>
      <w:r w:rsidRPr="002A3C1E">
        <w:rPr>
          <w:rFonts w:ascii="Arial" w:hAnsi="Arial" w:cs="Arial"/>
        </w:rPr>
        <w:t>for future years</w:t>
      </w:r>
      <w:r>
        <w:rPr>
          <w:rFonts w:ascii="Arial" w:hAnsi="Arial" w:cs="Arial"/>
        </w:rPr>
        <w:t xml:space="preserve">; </w:t>
      </w:r>
      <w:r w:rsidRPr="002A3C1E">
        <w:rPr>
          <w:rFonts w:ascii="Arial" w:hAnsi="Arial" w:cs="Arial"/>
        </w:rPr>
        <w:t>therefore, they are not available.</w:t>
      </w:r>
    </w:p>
    <w:p w:rsidR="002A3935" w:rsidRDefault="002A3935" w:rsidP="002A3935">
      <w:pPr>
        <w:rPr>
          <w:rFonts w:ascii="Arial" w:hAnsi="Arial" w:cs="Arial"/>
          <w:sz w:val="28"/>
          <w:szCs w:val="28"/>
        </w:rPr>
      </w:pPr>
    </w:p>
    <w:p w:rsidR="002A3935" w:rsidRDefault="002A3935" w:rsidP="002A3935">
      <w:pPr>
        <w:rPr>
          <w:rFonts w:ascii="Arial" w:hAnsi="Arial" w:cs="Arial"/>
          <w:b/>
          <w:u w:val="single"/>
        </w:rPr>
      </w:pPr>
    </w:p>
    <w:tbl>
      <w:tblPr>
        <w:tblW w:w="10605" w:type="dxa"/>
        <w:tblInd w:w="-522" w:type="dxa"/>
        <w:tblLook w:val="04A0" w:firstRow="1" w:lastRow="0" w:firstColumn="1" w:lastColumn="0" w:noHBand="0" w:noVBand="1"/>
      </w:tblPr>
      <w:tblGrid>
        <w:gridCol w:w="925"/>
        <w:gridCol w:w="1614"/>
        <w:gridCol w:w="1614"/>
        <w:gridCol w:w="1613"/>
        <w:gridCol w:w="1613"/>
        <w:gridCol w:w="1613"/>
        <w:gridCol w:w="1613"/>
      </w:tblGrid>
      <w:tr w:rsidR="002A3935" w:rsidTr="004A5D75">
        <w:trPr>
          <w:trHeight w:val="300"/>
        </w:trPr>
        <w:tc>
          <w:tcPr>
            <w:tcW w:w="925" w:type="dxa"/>
            <w:tcBorders>
              <w:top w:val="nil"/>
              <w:left w:val="nil"/>
              <w:bottom w:val="nil"/>
              <w:right w:val="nil"/>
            </w:tcBorders>
            <w:shd w:val="clear" w:color="auto" w:fill="auto"/>
            <w:noWrap/>
            <w:vAlign w:val="bottom"/>
            <w:hideMark/>
          </w:tcPr>
          <w:p w:rsidR="002A3935" w:rsidRDefault="002A3935" w:rsidP="004A5D75">
            <w:pPr>
              <w:rPr>
                <w:rFonts w:ascii="Calibri" w:hAnsi="Calibri"/>
                <w:color w:val="000000"/>
                <w:sz w:val="22"/>
                <w:szCs w:val="22"/>
              </w:rPr>
            </w:pPr>
          </w:p>
        </w:tc>
        <w:tc>
          <w:tcPr>
            <w:tcW w:w="9680" w:type="dxa"/>
            <w:gridSpan w:val="6"/>
            <w:tcBorders>
              <w:top w:val="nil"/>
              <w:left w:val="nil"/>
              <w:bottom w:val="single" w:sz="4" w:space="0" w:color="auto"/>
              <w:right w:val="nil"/>
            </w:tcBorders>
            <w:shd w:val="clear" w:color="auto" w:fill="auto"/>
            <w:noWrap/>
            <w:vAlign w:val="bottom"/>
            <w:hideMark/>
          </w:tcPr>
          <w:p w:rsidR="002A3935" w:rsidRDefault="002A3935" w:rsidP="004A5D75">
            <w:pPr>
              <w:jc w:val="center"/>
              <w:rPr>
                <w:rFonts w:ascii="Calibri" w:hAnsi="Calibri"/>
                <w:color w:val="000000"/>
                <w:sz w:val="22"/>
                <w:szCs w:val="22"/>
              </w:rPr>
            </w:pPr>
            <w:r>
              <w:rPr>
                <w:rFonts w:ascii="Calibri" w:hAnsi="Calibri"/>
                <w:color w:val="000000"/>
                <w:sz w:val="22"/>
                <w:szCs w:val="22"/>
              </w:rPr>
              <w:t>Service Replacement Capital Cost by Year</w:t>
            </w:r>
          </w:p>
        </w:tc>
      </w:tr>
      <w:tr w:rsidR="002A3935" w:rsidTr="004A5D75">
        <w:trPr>
          <w:trHeight w:val="300"/>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Year</w:t>
            </w:r>
          </w:p>
        </w:tc>
        <w:tc>
          <w:tcPr>
            <w:tcW w:w="1614"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2010</w:t>
            </w:r>
          </w:p>
        </w:tc>
        <w:tc>
          <w:tcPr>
            <w:tcW w:w="1614"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2011</w:t>
            </w:r>
          </w:p>
        </w:tc>
        <w:tc>
          <w:tcPr>
            <w:tcW w:w="1613"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2012</w:t>
            </w:r>
          </w:p>
        </w:tc>
        <w:tc>
          <w:tcPr>
            <w:tcW w:w="1613"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2013</w:t>
            </w:r>
          </w:p>
        </w:tc>
        <w:tc>
          <w:tcPr>
            <w:tcW w:w="1613" w:type="dxa"/>
            <w:tcBorders>
              <w:top w:val="nil"/>
              <w:left w:val="nil"/>
              <w:bottom w:val="single" w:sz="4" w:space="0" w:color="auto"/>
              <w:right w:val="nil"/>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2014</w:t>
            </w:r>
          </w:p>
        </w:tc>
        <w:tc>
          <w:tcPr>
            <w:tcW w:w="1613" w:type="dxa"/>
            <w:tcBorders>
              <w:top w:val="nil"/>
              <w:left w:val="nil"/>
              <w:bottom w:val="single" w:sz="4" w:space="0" w:color="auto"/>
              <w:right w:val="single" w:sz="4" w:space="0" w:color="auto"/>
            </w:tcBorders>
            <w:shd w:val="clear" w:color="auto" w:fill="auto"/>
            <w:noWrap/>
            <w:vAlign w:val="center"/>
            <w:hideMark/>
          </w:tcPr>
          <w:p w:rsidR="002A3935" w:rsidRDefault="002A3935" w:rsidP="004A5D75">
            <w:pPr>
              <w:jc w:val="center"/>
              <w:rPr>
                <w:rFonts w:ascii="Calibri" w:hAnsi="Calibri"/>
                <w:color w:val="000000"/>
                <w:sz w:val="22"/>
                <w:szCs w:val="22"/>
              </w:rPr>
            </w:pPr>
            <w:r>
              <w:rPr>
                <w:rFonts w:ascii="Calibri" w:hAnsi="Calibri"/>
                <w:color w:val="000000"/>
                <w:sz w:val="22"/>
                <w:szCs w:val="22"/>
              </w:rPr>
              <w:t>2015</w:t>
            </w:r>
          </w:p>
        </w:tc>
      </w:tr>
      <w:tr w:rsidR="002A3935" w:rsidTr="004A5D75">
        <w:trPr>
          <w:trHeight w:val="30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Capital Cost</w:t>
            </w:r>
          </w:p>
        </w:tc>
        <w:tc>
          <w:tcPr>
            <w:tcW w:w="1614" w:type="dxa"/>
            <w:tcBorders>
              <w:top w:val="nil"/>
              <w:left w:val="nil"/>
              <w:bottom w:val="single" w:sz="4" w:space="0" w:color="auto"/>
              <w:right w:val="nil"/>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24,716,229 </w:t>
            </w:r>
          </w:p>
        </w:tc>
        <w:tc>
          <w:tcPr>
            <w:tcW w:w="1614" w:type="dxa"/>
            <w:tcBorders>
              <w:top w:val="nil"/>
              <w:left w:val="nil"/>
              <w:bottom w:val="single" w:sz="4" w:space="0" w:color="auto"/>
              <w:right w:val="nil"/>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27,478,234 </w:t>
            </w:r>
          </w:p>
        </w:tc>
        <w:tc>
          <w:tcPr>
            <w:tcW w:w="1613" w:type="dxa"/>
            <w:tcBorders>
              <w:top w:val="nil"/>
              <w:left w:val="nil"/>
              <w:bottom w:val="single" w:sz="4" w:space="0" w:color="auto"/>
              <w:right w:val="nil"/>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27,145,837 </w:t>
            </w:r>
          </w:p>
        </w:tc>
        <w:tc>
          <w:tcPr>
            <w:tcW w:w="1613" w:type="dxa"/>
            <w:tcBorders>
              <w:top w:val="nil"/>
              <w:left w:val="nil"/>
              <w:bottom w:val="single" w:sz="4" w:space="0" w:color="auto"/>
              <w:right w:val="nil"/>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31,764,496 </w:t>
            </w:r>
          </w:p>
        </w:tc>
        <w:tc>
          <w:tcPr>
            <w:tcW w:w="1613" w:type="dxa"/>
            <w:tcBorders>
              <w:top w:val="nil"/>
              <w:left w:val="nil"/>
              <w:bottom w:val="single" w:sz="4" w:space="0" w:color="auto"/>
              <w:right w:val="nil"/>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37,852,531 </w:t>
            </w:r>
          </w:p>
        </w:tc>
        <w:tc>
          <w:tcPr>
            <w:tcW w:w="1613" w:type="dxa"/>
            <w:tcBorders>
              <w:top w:val="nil"/>
              <w:left w:val="nil"/>
              <w:bottom w:val="single" w:sz="4" w:space="0" w:color="auto"/>
              <w:right w:val="single" w:sz="4" w:space="0" w:color="auto"/>
            </w:tcBorders>
            <w:shd w:val="clear" w:color="auto" w:fill="auto"/>
            <w:noWrap/>
            <w:vAlign w:val="bottom"/>
            <w:hideMark/>
          </w:tcPr>
          <w:p w:rsidR="002A3935" w:rsidRDefault="002A3935" w:rsidP="004A5D75">
            <w:pPr>
              <w:rPr>
                <w:rFonts w:ascii="Calibri" w:hAnsi="Calibri"/>
                <w:color w:val="000000"/>
                <w:sz w:val="22"/>
                <w:szCs w:val="22"/>
              </w:rPr>
            </w:pPr>
            <w:r>
              <w:rPr>
                <w:rFonts w:ascii="Calibri" w:hAnsi="Calibri"/>
                <w:color w:val="000000"/>
                <w:sz w:val="22"/>
                <w:szCs w:val="22"/>
              </w:rPr>
              <w:t xml:space="preserve"> $    36,470,535 </w:t>
            </w:r>
          </w:p>
        </w:tc>
      </w:tr>
    </w:tbl>
    <w:p w:rsidR="002A3935" w:rsidRDefault="002A3935" w:rsidP="002A3935">
      <w:pPr>
        <w:rPr>
          <w:rFonts w:ascii="Arial" w:hAnsi="Arial" w:cs="Arial"/>
          <w:b/>
          <w:u w:val="single"/>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sz w:val="28"/>
          <w:szCs w:val="28"/>
        </w:rPr>
      </w:pPr>
    </w:p>
    <w:p w:rsidR="00E705AE" w:rsidRDefault="00E705AE" w:rsidP="00F67377">
      <w:pPr>
        <w:rPr>
          <w:rFonts w:ascii="Arial" w:hAnsi="Arial" w:cs="Arial"/>
          <w:b/>
          <w:u w:val="single"/>
        </w:rPr>
      </w:pPr>
    </w:p>
    <w:p w:rsidR="002A3935" w:rsidRDefault="002A3935">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Default="00F67377" w:rsidP="00F67377">
      <w:pPr>
        <w:rPr>
          <w:rFonts w:ascii="Arial" w:hAnsi="Arial" w:cs="Arial"/>
        </w:rPr>
      </w:pPr>
      <w:r w:rsidRPr="00823D98">
        <w:rPr>
          <w:rFonts w:ascii="Arial" w:hAnsi="Arial" w:cs="Arial"/>
          <w:b/>
          <w:u w:val="single"/>
        </w:rPr>
        <w:t>QUESTION 24:</w:t>
      </w:r>
    </w:p>
    <w:p w:rsidR="00823D98" w:rsidRDefault="00823D98" w:rsidP="00823D98">
      <w:pPr>
        <w:spacing w:after="240"/>
        <w:rPr>
          <w:rFonts w:ascii="Arial" w:hAnsi="Arial" w:cs="Arial"/>
        </w:rPr>
      </w:pPr>
    </w:p>
    <w:p w:rsidR="001622DB" w:rsidRPr="00823D98" w:rsidRDefault="001622DB" w:rsidP="00823D98">
      <w:pPr>
        <w:spacing w:after="240"/>
        <w:rPr>
          <w:rFonts w:ascii="Arial" w:hAnsi="Arial" w:cs="Arial"/>
        </w:rPr>
      </w:pPr>
      <w:r w:rsidRPr="00823D98">
        <w:rPr>
          <w:rFonts w:ascii="Arial" w:hAnsi="Arial" w:cs="Arial"/>
        </w:rPr>
        <w:t>Please provide the following information on cathodic protection for SoCal:</w:t>
      </w:r>
    </w:p>
    <w:p w:rsidR="001622DB" w:rsidRPr="00A5194E" w:rsidRDefault="001622DB" w:rsidP="000F55F5">
      <w:pPr>
        <w:pStyle w:val="ListParagraph"/>
        <w:numPr>
          <w:ilvl w:val="1"/>
          <w:numId w:val="13"/>
        </w:numPr>
        <w:spacing w:before="0" w:beforeAutospacing="0" w:after="240" w:afterAutospacing="0"/>
        <w:rPr>
          <w:rFonts w:ascii="Arial" w:hAnsi="Arial" w:cs="Arial"/>
        </w:rPr>
      </w:pPr>
      <w:r w:rsidRPr="00A5194E">
        <w:rPr>
          <w:rFonts w:ascii="Arial" w:hAnsi="Arial" w:cs="Arial"/>
        </w:rPr>
        <w:t>Identify costs of cathodic protection separately from other costs in Accounts 874 and 887.</w:t>
      </w:r>
    </w:p>
    <w:p w:rsidR="001622DB" w:rsidRPr="00A5194E" w:rsidRDefault="001622DB" w:rsidP="000F55F5">
      <w:pPr>
        <w:pStyle w:val="ListParagraph"/>
        <w:numPr>
          <w:ilvl w:val="1"/>
          <w:numId w:val="13"/>
        </w:numPr>
        <w:spacing w:before="0" w:beforeAutospacing="0" w:after="240" w:afterAutospacing="0"/>
        <w:rPr>
          <w:rFonts w:ascii="Arial" w:hAnsi="Arial" w:cs="Arial"/>
        </w:rPr>
      </w:pPr>
      <w:r w:rsidRPr="00A5194E">
        <w:rPr>
          <w:rFonts w:ascii="Arial" w:hAnsi="Arial" w:cs="Arial"/>
        </w:rPr>
        <w:t>Identify the number of miles of mains and services under cathodic protection at the end of 2014.  To the extent possible divide the estimate between mains and services, between high pressure and low-pressure mains, and by the size of pipe.</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24</w:t>
      </w:r>
      <w:r w:rsidRPr="00F759E8">
        <w:rPr>
          <w:rFonts w:ascii="Arial" w:hAnsi="Arial" w:cs="Arial"/>
          <w:b/>
          <w:u w:val="single"/>
        </w:rPr>
        <w:t>:</w:t>
      </w:r>
    </w:p>
    <w:p w:rsidR="00F67377" w:rsidRDefault="00F67377" w:rsidP="005C6E7A">
      <w:pPr>
        <w:rPr>
          <w:rFonts w:ascii="Arial" w:hAnsi="Arial" w:cs="Arial"/>
          <w:sz w:val="28"/>
          <w:szCs w:val="28"/>
        </w:rPr>
      </w:pPr>
    </w:p>
    <w:p w:rsidR="00064921" w:rsidRPr="00823D98" w:rsidRDefault="00BC60D4" w:rsidP="000F55F5">
      <w:pPr>
        <w:pStyle w:val="ListParagraph"/>
        <w:numPr>
          <w:ilvl w:val="0"/>
          <w:numId w:val="14"/>
        </w:numPr>
        <w:rPr>
          <w:rFonts w:ascii="Arial" w:hAnsi="Arial" w:cs="Arial"/>
        </w:rPr>
      </w:pPr>
      <w:r w:rsidRPr="00823D98">
        <w:rPr>
          <w:rFonts w:ascii="Arial" w:hAnsi="Arial" w:cs="Arial"/>
        </w:rPr>
        <w:t>The e</w:t>
      </w:r>
      <w:r w:rsidR="00064921" w:rsidRPr="00823D98">
        <w:rPr>
          <w:rFonts w:ascii="Arial" w:hAnsi="Arial" w:cs="Arial"/>
        </w:rPr>
        <w:t xml:space="preserve">xcel file below provides the </w:t>
      </w:r>
      <w:r w:rsidR="00DD5B6E" w:rsidRPr="00823D98">
        <w:rPr>
          <w:rFonts w:ascii="Arial" w:hAnsi="Arial" w:cs="Arial"/>
        </w:rPr>
        <w:t>2014</w:t>
      </w:r>
      <w:r w:rsidR="00064921" w:rsidRPr="00823D98">
        <w:rPr>
          <w:rFonts w:ascii="Arial" w:hAnsi="Arial" w:cs="Arial"/>
        </w:rPr>
        <w:t xml:space="preserve"> historical expenditures for Cathodic Protection for Account 887. Please note that there is no Cathodic Protection </w:t>
      </w:r>
      <w:r w:rsidR="009A2945" w:rsidRPr="00823D98">
        <w:rPr>
          <w:rFonts w:ascii="Arial" w:hAnsi="Arial" w:cs="Arial"/>
        </w:rPr>
        <w:t xml:space="preserve">expenditure recorded </w:t>
      </w:r>
      <w:r w:rsidR="00064921" w:rsidRPr="00823D98">
        <w:rPr>
          <w:rFonts w:ascii="Arial" w:hAnsi="Arial" w:cs="Arial"/>
        </w:rPr>
        <w:t xml:space="preserve">in FERC </w:t>
      </w:r>
      <w:r w:rsidR="009A2945" w:rsidRPr="00823D98">
        <w:rPr>
          <w:rFonts w:ascii="Arial" w:hAnsi="Arial" w:cs="Arial"/>
        </w:rPr>
        <w:t xml:space="preserve">Account </w:t>
      </w:r>
      <w:r w:rsidR="00064921" w:rsidRPr="00823D98">
        <w:rPr>
          <w:rFonts w:ascii="Arial" w:hAnsi="Arial" w:cs="Arial"/>
        </w:rPr>
        <w:t>874</w:t>
      </w:r>
      <w:r w:rsidR="005B50E4" w:rsidRPr="00823D98">
        <w:rPr>
          <w:rFonts w:ascii="Arial" w:hAnsi="Arial" w:cs="Arial"/>
        </w:rPr>
        <w:t>.</w:t>
      </w:r>
    </w:p>
    <w:p w:rsidR="005B50E4" w:rsidRDefault="00DD5B6E" w:rsidP="005C6E7A">
      <w:pPr>
        <w:rPr>
          <w:rFonts w:ascii="Arial" w:hAnsi="Arial" w:cs="Arial"/>
        </w:rPr>
      </w:pPr>
      <w:r>
        <w:rPr>
          <w:rFonts w:ascii="Arial" w:hAnsi="Arial" w:cs="Arial"/>
        </w:rPr>
        <w:object w:dxaOrig="1531" w:dyaOrig="990">
          <v:shape id="_x0000_i1034" type="#_x0000_t75" style="width:76.4pt;height:49.45pt" o:ole="">
            <v:imagedata r:id="rId29" o:title=""/>
          </v:shape>
          <o:OLEObject Type="Embed" ProgID="Excel.Sheet.8" ShapeID="_x0000_i1034" DrawAspect="Icon" ObjectID="_1519128189" r:id="rId30"/>
        </w:object>
      </w:r>
    </w:p>
    <w:p w:rsidR="00C500E1" w:rsidRPr="00224F57" w:rsidRDefault="00C500E1" w:rsidP="000F55F5">
      <w:pPr>
        <w:pStyle w:val="ListParagraph"/>
        <w:numPr>
          <w:ilvl w:val="0"/>
          <w:numId w:val="14"/>
        </w:numPr>
        <w:rPr>
          <w:rFonts w:ascii="Arial" w:hAnsi="Arial" w:cs="Arial"/>
          <w:sz w:val="28"/>
          <w:szCs w:val="28"/>
        </w:rPr>
      </w:pPr>
      <w:r w:rsidRPr="00224F57">
        <w:rPr>
          <w:rFonts w:ascii="Arial" w:hAnsi="Arial" w:cs="Arial"/>
        </w:rPr>
        <w:t>The a</w:t>
      </w:r>
      <w:r w:rsidR="005B50E4" w:rsidRPr="00224F57">
        <w:rPr>
          <w:rFonts w:ascii="Arial" w:hAnsi="Arial" w:cs="Arial"/>
        </w:rPr>
        <w:t xml:space="preserve">ttached </w:t>
      </w:r>
      <w:r w:rsidRPr="00224F57">
        <w:rPr>
          <w:rFonts w:ascii="Arial" w:hAnsi="Arial" w:cs="Arial"/>
        </w:rPr>
        <w:t>file contains the information on</w:t>
      </w:r>
      <w:r w:rsidR="005B50E4" w:rsidRPr="00224F57">
        <w:rPr>
          <w:rFonts w:ascii="Arial" w:hAnsi="Arial" w:cs="Arial"/>
        </w:rPr>
        <w:t xml:space="preserve"> the number of miles of mains and services under cathodic protection at the end of 2014.</w:t>
      </w:r>
    </w:p>
    <w:p w:rsidR="005B50E4" w:rsidRDefault="00DD5B6E" w:rsidP="005C6E7A">
      <w:pPr>
        <w:rPr>
          <w:rFonts w:ascii="Arial" w:hAnsi="Arial" w:cs="Arial"/>
          <w:sz w:val="28"/>
          <w:szCs w:val="28"/>
        </w:rPr>
      </w:pPr>
      <w:r w:rsidRPr="005840B4">
        <w:rPr>
          <w:rFonts w:ascii="Arial" w:hAnsi="Arial" w:cs="Arial"/>
          <w:sz w:val="28"/>
          <w:szCs w:val="28"/>
        </w:rPr>
        <w:object w:dxaOrig="1531" w:dyaOrig="990">
          <v:shape id="_x0000_i1035" type="#_x0000_t75" style="width:76.4pt;height:49.45pt" o:ole="">
            <v:imagedata r:id="rId31" o:title=""/>
          </v:shape>
          <o:OLEObject Type="Embed" ProgID="Excel.Sheet.12" ShapeID="_x0000_i1035" DrawAspect="Icon" ObjectID="_1519128190" r:id="rId32"/>
        </w:objec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224F57">
        <w:rPr>
          <w:rFonts w:ascii="Arial" w:hAnsi="Arial" w:cs="Arial"/>
          <w:b/>
          <w:u w:val="single"/>
        </w:rPr>
        <w:t>QUESTION 25:</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Please identify the total number of meters replaced by SoCalGas in each year from 2006 to 2015, the number of meters required to be replaced in order to install AMI, and the number of other meters replaced.</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25</w:t>
      </w:r>
      <w:r w:rsidRPr="00F759E8">
        <w:rPr>
          <w:rFonts w:ascii="Arial" w:hAnsi="Arial" w:cs="Arial"/>
          <w:b/>
          <w:u w:val="single"/>
        </w:rPr>
        <w:t>:</w:t>
      </w:r>
    </w:p>
    <w:p w:rsidR="00224F57" w:rsidRDefault="00224F57" w:rsidP="00F67377">
      <w:pPr>
        <w:rPr>
          <w:rFonts w:ascii="Arial" w:hAnsi="Arial" w:cs="Arial"/>
          <w:sz w:val="28"/>
          <w:szCs w:val="28"/>
        </w:rPr>
      </w:pPr>
    </w:p>
    <w:p w:rsidR="00224F57" w:rsidRPr="00503D25" w:rsidRDefault="006E00A2" w:rsidP="00224F57">
      <w:pPr>
        <w:rPr>
          <w:rFonts w:ascii="Arial" w:hAnsi="Arial" w:cs="Arial"/>
          <w:szCs w:val="28"/>
        </w:rPr>
      </w:pPr>
      <w:r w:rsidRPr="006E00A2">
        <w:rPr>
          <w:rFonts w:ascii="Arial" w:hAnsi="Arial" w:cs="Arial"/>
        </w:rPr>
        <w:object w:dxaOrig="2040" w:dyaOrig="1339">
          <v:shape id="_x0000_i1036" type="#_x0000_t75" style="width:102.05pt;height:67pt" o:ole="">
            <v:imagedata r:id="rId33" o:title=""/>
          </v:shape>
          <o:OLEObject Type="Embed" ProgID="Excel.Sheet.12" ShapeID="_x0000_i1036" DrawAspect="Icon" ObjectID="_1519128191" r:id="rId34"/>
        </w:object>
      </w:r>
    </w:p>
    <w:p w:rsidR="00F67377" w:rsidRDefault="008F1DD5" w:rsidP="00F67377">
      <w:pPr>
        <w:rPr>
          <w:rFonts w:ascii="Arial" w:hAnsi="Arial" w:cs="Arial"/>
          <w:b/>
          <w:u w:val="single"/>
        </w:rPr>
      </w:pPr>
      <w:r>
        <w:rPr>
          <w:rFonts w:ascii="Arial" w:hAnsi="Arial" w:cs="Arial"/>
          <w:b/>
          <w:u w:val="single"/>
        </w:rPr>
        <w:t xml:space="preserve"> </w:t>
      </w:r>
      <w:r w:rsidR="00F67377">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224F57">
        <w:rPr>
          <w:rFonts w:ascii="Arial" w:hAnsi="Arial" w:cs="Arial"/>
          <w:b/>
          <w:u w:val="single"/>
        </w:rPr>
        <w:t>QUESTION 26</w:t>
      </w:r>
      <w:r w:rsidR="00224F57">
        <w:rPr>
          <w:rFonts w:ascii="Arial" w:hAnsi="Arial" w:cs="Arial"/>
          <w:b/>
          <w:u w:val="single"/>
        </w:rPr>
        <w:t>:</w:t>
      </w:r>
    </w:p>
    <w:p w:rsidR="00582C14" w:rsidRPr="0031141C" w:rsidRDefault="00582C14" w:rsidP="00F67377">
      <w:pPr>
        <w:rPr>
          <w:rFonts w:ascii="Arial" w:hAnsi="Arial" w:cs="Arial"/>
        </w:rPr>
      </w:pPr>
    </w:p>
    <w:p w:rsidR="001622DB" w:rsidRPr="00224F57" w:rsidRDefault="001622DB" w:rsidP="00224F57">
      <w:pPr>
        <w:spacing w:after="240"/>
        <w:rPr>
          <w:rFonts w:ascii="Arial" w:hAnsi="Arial" w:cs="Arial"/>
        </w:rPr>
      </w:pPr>
      <w:r w:rsidRPr="00224F57">
        <w:rPr>
          <w:rFonts w:ascii="Arial" w:hAnsi="Arial" w:cs="Arial"/>
        </w:rPr>
        <w:t>Regarding the replacement and new business costs associated with services:</w:t>
      </w:r>
    </w:p>
    <w:p w:rsidR="001622DB" w:rsidRPr="00A5194E" w:rsidRDefault="001622DB" w:rsidP="000F55F5">
      <w:pPr>
        <w:pStyle w:val="ListParagraph"/>
        <w:numPr>
          <w:ilvl w:val="1"/>
          <w:numId w:val="15"/>
        </w:numPr>
        <w:spacing w:before="0" w:beforeAutospacing="0" w:after="240" w:afterAutospacing="0"/>
        <w:rPr>
          <w:rFonts w:ascii="Arial" w:hAnsi="Arial" w:cs="Arial"/>
        </w:rPr>
      </w:pPr>
      <w:r w:rsidRPr="00A5194E">
        <w:rPr>
          <w:rFonts w:ascii="Arial" w:hAnsi="Arial" w:cs="Arial"/>
        </w:rPr>
        <w:t xml:space="preserve">Please provide documentation supporting the replacement and new business costs per foot of services. </w:t>
      </w:r>
    </w:p>
    <w:p w:rsidR="001622DB" w:rsidRPr="00A5194E" w:rsidRDefault="001622DB" w:rsidP="000F55F5">
      <w:pPr>
        <w:pStyle w:val="ListParagraph"/>
        <w:numPr>
          <w:ilvl w:val="1"/>
          <w:numId w:val="15"/>
        </w:numPr>
        <w:spacing w:before="0" w:beforeAutospacing="0" w:after="240" w:afterAutospacing="0"/>
        <w:rPr>
          <w:rFonts w:ascii="Arial" w:hAnsi="Arial" w:cs="Arial"/>
        </w:rPr>
      </w:pPr>
      <w:r w:rsidRPr="00A5194E">
        <w:rPr>
          <w:rFonts w:ascii="Arial" w:hAnsi="Arial" w:cs="Arial"/>
        </w:rPr>
        <w:t>Please provide documentation supporting the average length of service drops by type.</w:t>
      </w:r>
    </w:p>
    <w:p w:rsidR="001622DB" w:rsidRPr="00A5194E" w:rsidRDefault="001622DB" w:rsidP="000F55F5">
      <w:pPr>
        <w:pStyle w:val="ListParagraph"/>
        <w:numPr>
          <w:ilvl w:val="1"/>
          <w:numId w:val="15"/>
        </w:numPr>
        <w:spacing w:before="0" w:beforeAutospacing="0" w:after="240" w:afterAutospacing="0"/>
        <w:rPr>
          <w:rFonts w:ascii="Arial" w:hAnsi="Arial" w:cs="Arial"/>
        </w:rPr>
      </w:pPr>
      <w:r w:rsidRPr="00A5194E">
        <w:rPr>
          <w:rFonts w:ascii="Arial" w:hAnsi="Arial" w:cs="Arial"/>
        </w:rPr>
        <w:t>For multi-family services, please provide more detail on individual jobs showing the cost and number of customers of each individual job included in the analysis.</w:t>
      </w:r>
    </w:p>
    <w:p w:rsidR="001622DB" w:rsidRPr="00A5194E" w:rsidRDefault="001622DB" w:rsidP="000F55F5">
      <w:pPr>
        <w:pStyle w:val="ListParagraph"/>
        <w:numPr>
          <w:ilvl w:val="1"/>
          <w:numId w:val="15"/>
        </w:numPr>
        <w:spacing w:before="0" w:beforeAutospacing="0" w:after="240" w:afterAutospacing="0"/>
        <w:rPr>
          <w:rFonts w:ascii="Arial" w:hAnsi="Arial" w:cs="Arial"/>
        </w:rPr>
      </w:pPr>
      <w:r w:rsidRPr="00A5194E">
        <w:rPr>
          <w:rFonts w:ascii="Arial" w:hAnsi="Arial" w:cs="Arial"/>
        </w:rPr>
        <w:t>Please provide documentation confirming that the number of customers associated with larger multifamily services (sizes of 2P or 2S and above) are not the number of buildings being connected but the number of metered apartments that will ultimately be built in those buildings (e.g, show material confirming that SoCal believes that a 3 inch plastic service of 299 feet is actually required to serve a single multi-family customer, not to serve an entire whole apartment building).  If you cannot confirm that you correctly estimated the number of customers served by these service lines, please provide a corrected analysis.</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26</w:t>
      </w:r>
      <w:r w:rsidRPr="00F759E8">
        <w:rPr>
          <w:rFonts w:ascii="Arial" w:hAnsi="Arial" w:cs="Arial"/>
          <w:b/>
          <w:u w:val="single"/>
        </w:rPr>
        <w:t>:</w:t>
      </w:r>
    </w:p>
    <w:p w:rsidR="003E11CA" w:rsidRDefault="003E11CA" w:rsidP="003E11CA">
      <w:pPr>
        <w:rPr>
          <w:rFonts w:ascii="Arial" w:hAnsi="Arial" w:cs="Arial"/>
          <w:b/>
        </w:rPr>
      </w:pPr>
    </w:p>
    <w:p w:rsidR="006E00A2" w:rsidRDefault="006E00A2" w:rsidP="003E11CA">
      <w:pPr>
        <w:rPr>
          <w:rFonts w:ascii="Arial" w:hAnsi="Arial" w:cs="Arial"/>
        </w:rPr>
      </w:pPr>
    </w:p>
    <w:p w:rsidR="006E00A2" w:rsidRPr="006E00A2" w:rsidRDefault="006E00A2" w:rsidP="006E00A2">
      <w:pPr>
        <w:rPr>
          <w:rFonts w:ascii="Arial" w:hAnsi="Arial" w:cs="Arial"/>
          <w:b/>
        </w:rPr>
      </w:pPr>
      <w:r w:rsidRPr="006E00A2">
        <w:rPr>
          <w:rFonts w:ascii="Arial" w:hAnsi="Arial" w:cs="Arial"/>
          <w:b/>
        </w:rPr>
        <w:t>a)</w:t>
      </w:r>
      <w:r w:rsidRPr="006E00A2">
        <w:rPr>
          <w:rFonts w:ascii="Arial" w:hAnsi="Arial" w:cs="Arial"/>
        </w:rPr>
        <w:t xml:space="preserve"> The attached file shows the derivation of the replacement and new business costs per foot of services.  Distribution service unit costs in this TCAP were derived by escalating unit costs from the last TCAP as the 2011- 2013 unit cost data generally appeared high and did not seem reasonable compared to prior TCAP filings.  </w:t>
      </w:r>
    </w:p>
    <w:p w:rsidR="006E00A2" w:rsidRPr="006E00A2" w:rsidRDefault="006E00A2" w:rsidP="006E00A2">
      <w:pPr>
        <w:rPr>
          <w:rFonts w:ascii="Arial" w:hAnsi="Arial" w:cs="Arial"/>
          <w:b/>
        </w:rPr>
      </w:pPr>
    </w:p>
    <w:p w:rsidR="006E00A2" w:rsidRPr="006E00A2" w:rsidRDefault="006E00A2" w:rsidP="006E00A2">
      <w:pPr>
        <w:rPr>
          <w:rFonts w:ascii="Arial" w:hAnsi="Arial" w:cs="Arial"/>
          <w:b/>
        </w:rPr>
      </w:pPr>
      <w:r w:rsidRPr="006E00A2">
        <w:rPr>
          <w:rFonts w:ascii="Arial" w:hAnsi="Arial" w:cs="Arial"/>
          <w:b/>
        </w:rPr>
        <w:t xml:space="preserve"> </w:t>
      </w:r>
      <w:r w:rsidRPr="006E00A2">
        <w:rPr>
          <w:rFonts w:ascii="Arial" w:hAnsi="Arial" w:cs="Arial"/>
          <w:b/>
        </w:rPr>
        <w:object w:dxaOrig="2040" w:dyaOrig="1320">
          <v:shape id="_x0000_i1037" type="#_x0000_t75" style="width:102.05pt;height:67pt" o:ole="">
            <v:imagedata r:id="rId35" o:title=""/>
          </v:shape>
          <o:OLEObject Type="Embed" ProgID="Excel.Sheet.12" ShapeID="_x0000_i1037" DrawAspect="Icon" ObjectID="_1519128192" r:id="rId36"/>
        </w:object>
      </w:r>
    </w:p>
    <w:p w:rsidR="006E00A2" w:rsidRDefault="006E00A2" w:rsidP="006E00A2">
      <w:pPr>
        <w:rPr>
          <w:rFonts w:ascii="Arial" w:hAnsi="Arial" w:cs="Arial"/>
        </w:rPr>
      </w:pPr>
      <w:r w:rsidRPr="006E00A2">
        <w:rPr>
          <w:rFonts w:ascii="Arial" w:hAnsi="Arial" w:cs="Arial"/>
          <w:b/>
        </w:rPr>
        <w:t>b)</w:t>
      </w:r>
      <w:r w:rsidRPr="006E00A2">
        <w:rPr>
          <w:rFonts w:ascii="Arial" w:hAnsi="Arial" w:cs="Arial"/>
        </w:rPr>
        <w:t xml:space="preserve"> New service line activity for 2009-2013 was used at the premise level by pipe type and size.  The new service line footage by premise was merged with new 2009-2013 customer information that included rate group. New service line footage was then aggregated by rate group, line type and line size.  Average new service line footage by rate group, line type, and </w:t>
      </w:r>
      <w:r w:rsidRPr="006E00A2">
        <w:rPr>
          <w:rFonts w:ascii="Arial" w:hAnsi="Arial" w:cs="Arial"/>
        </w:rPr>
        <w:lastRenderedPageBreak/>
        <w:t>size was then derived by dividing the aggregated service line footage by the number of service lines.</w:t>
      </w:r>
      <w:r>
        <w:rPr>
          <w:rFonts w:ascii="Arial" w:hAnsi="Arial" w:cs="Arial"/>
        </w:rPr>
        <w:t xml:space="preserve">  </w:t>
      </w:r>
    </w:p>
    <w:p w:rsidR="006E00A2" w:rsidRDefault="006E00A2" w:rsidP="003E11CA">
      <w:pPr>
        <w:rPr>
          <w:rFonts w:ascii="Arial" w:hAnsi="Arial" w:cs="Arial"/>
        </w:rPr>
      </w:pPr>
    </w:p>
    <w:p w:rsidR="006E00A2" w:rsidRDefault="003E11CA" w:rsidP="006E00A2">
      <w:pPr>
        <w:pStyle w:val="ListParagraph"/>
        <w:numPr>
          <w:ilvl w:val="0"/>
          <w:numId w:val="14"/>
        </w:numPr>
        <w:rPr>
          <w:rFonts w:ascii="Arial" w:hAnsi="Arial" w:cs="Arial"/>
        </w:rPr>
      </w:pPr>
      <w:r w:rsidRPr="006E00A2">
        <w:rPr>
          <w:rFonts w:ascii="Arial" w:hAnsi="Arial" w:cs="Arial"/>
        </w:rPr>
        <w:t>[</w:t>
      </w:r>
      <w:r w:rsidRPr="006E00A2">
        <w:rPr>
          <w:rFonts w:ascii="Arial" w:hAnsi="Arial" w:cs="Arial"/>
          <w:highlight w:val="yellow"/>
        </w:rPr>
        <w:t>Pending</w:t>
      </w:r>
      <w:r w:rsidRPr="006E00A2">
        <w:rPr>
          <w:rFonts w:ascii="Arial" w:hAnsi="Arial" w:cs="Arial"/>
        </w:rPr>
        <w:t>]</w:t>
      </w:r>
    </w:p>
    <w:p w:rsidR="006E00A2" w:rsidRPr="006E00A2" w:rsidRDefault="006E00A2" w:rsidP="006E00A2">
      <w:pPr>
        <w:pStyle w:val="ListParagraph"/>
        <w:numPr>
          <w:ilvl w:val="0"/>
          <w:numId w:val="14"/>
        </w:numPr>
        <w:rPr>
          <w:rFonts w:ascii="Arial" w:hAnsi="Arial" w:cs="Arial"/>
        </w:rPr>
      </w:pPr>
      <w:r w:rsidRPr="006E00A2">
        <w:rPr>
          <w:rFonts w:ascii="Arial" w:hAnsi="Arial" w:cs="Arial"/>
        </w:rPr>
        <w:t>[</w:t>
      </w:r>
      <w:r w:rsidRPr="006E00A2">
        <w:rPr>
          <w:rFonts w:ascii="Arial" w:hAnsi="Arial" w:cs="Arial"/>
          <w:highlight w:val="yellow"/>
        </w:rPr>
        <w:t>Pending</w:t>
      </w:r>
      <w:r w:rsidRPr="006E00A2">
        <w:rPr>
          <w:rFonts w:ascii="Arial" w:hAnsi="Arial" w:cs="Arial"/>
        </w:rPr>
        <w:t>]</w:t>
      </w:r>
    </w:p>
    <w:p w:rsidR="00A85689" w:rsidRPr="006E00A2" w:rsidRDefault="00F67377" w:rsidP="006E00A2">
      <w:pPr>
        <w:pStyle w:val="ListParagraph"/>
        <w:numPr>
          <w:ilvl w:val="0"/>
          <w:numId w:val="14"/>
        </w:numPr>
        <w:rPr>
          <w:rFonts w:ascii="Arial" w:hAnsi="Arial" w:cs="Arial"/>
        </w:rPr>
      </w:pPr>
      <w:r w:rsidRPr="006E00A2">
        <w:rPr>
          <w:rFonts w:ascii="Arial" w:hAnsi="Arial" w:cs="Arial"/>
        </w:rPr>
        <w:br w:type="page"/>
      </w:r>
    </w:p>
    <w:p w:rsidR="005D273B" w:rsidRPr="005B50E4" w:rsidRDefault="005D273B" w:rsidP="00F67377">
      <w:pPr>
        <w:rPr>
          <w:rFonts w:ascii="Arial" w:hAnsi="Arial" w:cs="Arial"/>
          <w:b/>
        </w:rPr>
      </w:pP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224F57">
        <w:rPr>
          <w:rFonts w:ascii="Arial" w:hAnsi="Arial" w:cs="Arial"/>
          <w:b/>
          <w:u w:val="single"/>
        </w:rPr>
        <w:t>QUESTION 27:</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With regard to residential services of each type identified on the service cost detail workpaper, please identify the portion of the cost of each type of line that would be paid for by the applicant through customer advances for construction or contributions in aid of construction.  Specifically identify the conditions under which ratepayers could be responsible for the entire cost of a line serving a single residential customer with a cost in excess of $5,000 per customer.</w:t>
      </w: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27</w:t>
      </w:r>
      <w:r w:rsidRPr="00F759E8">
        <w:rPr>
          <w:rFonts w:ascii="Arial" w:hAnsi="Arial" w:cs="Arial"/>
          <w:b/>
          <w:u w:val="single"/>
        </w:rPr>
        <w:t>:</w:t>
      </w:r>
    </w:p>
    <w:p w:rsidR="00F67377" w:rsidRDefault="00F67377" w:rsidP="005C6E7A">
      <w:pPr>
        <w:rPr>
          <w:rFonts w:ascii="Arial" w:hAnsi="Arial" w:cs="Arial"/>
          <w:sz w:val="28"/>
          <w:szCs w:val="28"/>
        </w:rPr>
      </w:pPr>
    </w:p>
    <w:p w:rsidR="00F67377" w:rsidRPr="003E11CA" w:rsidRDefault="000F55F5" w:rsidP="005C6E7A">
      <w:pPr>
        <w:rPr>
          <w:rFonts w:ascii="Arial" w:hAnsi="Arial" w:cs="Arial"/>
          <w:szCs w:val="28"/>
        </w:rPr>
      </w:pPr>
      <w:r w:rsidRPr="00F52992">
        <w:rPr>
          <w:rFonts w:ascii="Arial" w:hAnsi="Arial" w:cs="Arial"/>
        </w:rPr>
        <w:t xml:space="preserve">For most </w:t>
      </w:r>
      <w:r>
        <w:rPr>
          <w:rFonts w:ascii="Arial" w:hAnsi="Arial" w:cs="Arial"/>
        </w:rPr>
        <w:t>r</w:t>
      </w:r>
      <w:r w:rsidRPr="00F52992">
        <w:rPr>
          <w:rFonts w:ascii="Arial" w:hAnsi="Arial" w:cs="Arial"/>
        </w:rPr>
        <w:t xml:space="preserve">esidential </w:t>
      </w:r>
      <w:r>
        <w:rPr>
          <w:rFonts w:ascii="Arial" w:hAnsi="Arial" w:cs="Arial"/>
        </w:rPr>
        <w:t>n</w:t>
      </w:r>
      <w:r w:rsidRPr="00F52992">
        <w:rPr>
          <w:rFonts w:ascii="Arial" w:hAnsi="Arial" w:cs="Arial"/>
        </w:rPr>
        <w:t xml:space="preserve">ew </w:t>
      </w:r>
      <w:r>
        <w:rPr>
          <w:rFonts w:ascii="Arial" w:hAnsi="Arial" w:cs="Arial"/>
        </w:rPr>
        <w:t>b</w:t>
      </w:r>
      <w:r w:rsidRPr="00F52992">
        <w:rPr>
          <w:rFonts w:ascii="Arial" w:hAnsi="Arial" w:cs="Arial"/>
        </w:rPr>
        <w:t xml:space="preserve">usiness jobs, ratepayers cover $1,398 of the estimated line extension.  </w:t>
      </w:r>
      <w:r>
        <w:rPr>
          <w:rFonts w:ascii="Arial" w:hAnsi="Arial" w:cs="Arial"/>
        </w:rPr>
        <w:t>Thus,</w:t>
      </w:r>
      <w:r w:rsidRPr="00F52992">
        <w:rPr>
          <w:rFonts w:ascii="Arial" w:hAnsi="Arial" w:cs="Arial"/>
        </w:rPr>
        <w:t xml:space="preserve"> for a $5</w:t>
      </w:r>
      <w:r>
        <w:rPr>
          <w:rFonts w:ascii="Arial" w:hAnsi="Arial" w:cs="Arial"/>
        </w:rPr>
        <w:t>,</w:t>
      </w:r>
      <w:r w:rsidRPr="00F52992">
        <w:rPr>
          <w:rFonts w:ascii="Arial" w:hAnsi="Arial" w:cs="Arial"/>
        </w:rPr>
        <w:t>000 single residential customer line extension, regardless of the pipe diameter size, ratepayer</w:t>
      </w:r>
      <w:r>
        <w:rPr>
          <w:rFonts w:ascii="Arial" w:hAnsi="Arial" w:cs="Arial"/>
        </w:rPr>
        <w:t>s</w:t>
      </w:r>
      <w:r w:rsidRPr="00F52992">
        <w:rPr>
          <w:rFonts w:ascii="Arial" w:hAnsi="Arial" w:cs="Arial"/>
        </w:rPr>
        <w:t xml:space="preserve"> will pay $1,398 or 28% of the $5</w:t>
      </w:r>
      <w:r>
        <w:rPr>
          <w:rFonts w:ascii="Arial" w:hAnsi="Arial" w:cs="Arial"/>
        </w:rPr>
        <w:t>,</w:t>
      </w:r>
      <w:r w:rsidRPr="00F52992">
        <w:rPr>
          <w:rFonts w:ascii="Arial" w:hAnsi="Arial" w:cs="Arial"/>
        </w:rPr>
        <w:t>000 job.  For replacements, if an applicant requests an alteration, relocations, or replacements</w:t>
      </w:r>
      <w:r>
        <w:rPr>
          <w:rFonts w:ascii="Arial" w:hAnsi="Arial" w:cs="Arial"/>
        </w:rPr>
        <w:t>,</w:t>
      </w:r>
      <w:r w:rsidRPr="00F52992">
        <w:rPr>
          <w:rFonts w:ascii="Arial" w:hAnsi="Arial" w:cs="Arial"/>
        </w:rPr>
        <w:t xml:space="preserve"> then ratepayers do not </w:t>
      </w:r>
      <w:r>
        <w:rPr>
          <w:rFonts w:ascii="Arial" w:hAnsi="Arial" w:cs="Arial"/>
        </w:rPr>
        <w:t>assume</w:t>
      </w:r>
      <w:r w:rsidRPr="00F52992">
        <w:rPr>
          <w:rFonts w:ascii="Arial" w:hAnsi="Arial" w:cs="Arial"/>
        </w:rPr>
        <w:t xml:space="preserve"> any costs.  </w:t>
      </w:r>
      <w:r>
        <w:rPr>
          <w:rFonts w:ascii="Arial" w:hAnsi="Arial" w:cs="Arial"/>
        </w:rPr>
        <w:t>T</w:t>
      </w:r>
      <w:r w:rsidRPr="00F52992">
        <w:rPr>
          <w:rFonts w:ascii="Arial" w:hAnsi="Arial" w:cs="Arial"/>
        </w:rPr>
        <w:t xml:space="preserve">he customer </w:t>
      </w:r>
      <w:r>
        <w:rPr>
          <w:rFonts w:ascii="Arial" w:hAnsi="Arial" w:cs="Arial"/>
        </w:rPr>
        <w:t xml:space="preserve">pays for the costs </w:t>
      </w:r>
      <w:r w:rsidRPr="00F52992">
        <w:rPr>
          <w:rFonts w:ascii="Arial" w:hAnsi="Arial" w:cs="Arial"/>
        </w:rPr>
        <w:t xml:space="preserve">per Rule 21.  For service replacements </w:t>
      </w:r>
      <w:r>
        <w:rPr>
          <w:rFonts w:ascii="Arial" w:hAnsi="Arial" w:cs="Arial"/>
        </w:rPr>
        <w:t>for</w:t>
      </w:r>
      <w:r w:rsidRPr="00F52992">
        <w:rPr>
          <w:rFonts w:ascii="Arial" w:hAnsi="Arial" w:cs="Arial"/>
        </w:rPr>
        <w:t xml:space="preserve"> leakage</w:t>
      </w:r>
      <w:r>
        <w:rPr>
          <w:rFonts w:ascii="Arial" w:hAnsi="Arial" w:cs="Arial"/>
        </w:rPr>
        <w:t>,</w:t>
      </w:r>
      <w:r w:rsidRPr="00F52992">
        <w:rPr>
          <w:rFonts w:ascii="Arial" w:hAnsi="Arial" w:cs="Arial"/>
        </w:rPr>
        <w:t xml:space="preserve"> main replacement</w:t>
      </w:r>
      <w:r>
        <w:rPr>
          <w:rFonts w:ascii="Arial" w:hAnsi="Arial" w:cs="Arial"/>
        </w:rPr>
        <w:t>,</w:t>
      </w:r>
      <w:r w:rsidRPr="00F52992">
        <w:rPr>
          <w:rFonts w:ascii="Arial" w:hAnsi="Arial" w:cs="Arial"/>
        </w:rPr>
        <w:t xml:space="preserve"> or company replacement, there is no customer advance</w:t>
      </w:r>
      <w:r>
        <w:rPr>
          <w:rFonts w:ascii="Arial" w:hAnsi="Arial" w:cs="Arial"/>
        </w:rPr>
        <w:t>,</w:t>
      </w:r>
      <w:r w:rsidRPr="00F52992">
        <w:rPr>
          <w:rFonts w:ascii="Arial" w:hAnsi="Arial" w:cs="Arial"/>
        </w:rPr>
        <w:t xml:space="preserve"> and therefore associated costs are bor</w:t>
      </w:r>
      <w:r>
        <w:rPr>
          <w:rFonts w:ascii="Arial" w:hAnsi="Arial" w:cs="Arial"/>
        </w:rPr>
        <w:t>n</w:t>
      </w:r>
      <w:r w:rsidRPr="00F52992">
        <w:rPr>
          <w:rFonts w:ascii="Arial" w:hAnsi="Arial" w:cs="Arial"/>
        </w:rPr>
        <w:t>e by the ratepayers.</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224F57">
        <w:rPr>
          <w:rFonts w:ascii="Arial" w:hAnsi="Arial" w:cs="Arial"/>
          <w:b/>
          <w:u w:val="single"/>
        </w:rPr>
        <w:t>QUESTION 28:</w:t>
      </w:r>
    </w:p>
    <w:p w:rsidR="00F67377" w:rsidRPr="0031141C" w:rsidRDefault="00F67377" w:rsidP="00F67377">
      <w:pPr>
        <w:rPr>
          <w:rFonts w:ascii="Arial" w:hAnsi="Arial" w:cs="Arial"/>
        </w:rPr>
      </w:pPr>
    </w:p>
    <w:p w:rsidR="001622DB" w:rsidRPr="00A5194E" w:rsidRDefault="001622DB" w:rsidP="001622DB">
      <w:pPr>
        <w:pStyle w:val="ListParagraph"/>
        <w:spacing w:before="0" w:beforeAutospacing="0" w:after="240" w:afterAutospacing="0"/>
        <w:rPr>
          <w:rFonts w:ascii="Arial" w:hAnsi="Arial" w:cs="Arial"/>
        </w:rPr>
      </w:pPr>
      <w:r w:rsidRPr="00A5194E">
        <w:rPr>
          <w:rFonts w:ascii="Arial" w:hAnsi="Arial" w:cs="Arial"/>
        </w:rPr>
        <w:t xml:space="preserve">Following up on ORA-TCAP-2-SCG-08 FERC Account worksheets, please provide data by FERC Account and sub-account for 2012, 2013, and 2014 and provide a definition of subaccounts for all of Customer Services O&amp;M Costs 870.65, 878, 879, 880, Customer Accounting O&amp;M Costs 901, 902, 903, and 905, and meter and regulator O&amp;M accounts in Accounts 878 and 893.  Provide for each individual sub-account in each account, even if aggregated in the response to ORA. </w:t>
      </w: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28</w:t>
      </w:r>
      <w:r w:rsidRPr="00F759E8">
        <w:rPr>
          <w:rFonts w:ascii="Arial" w:hAnsi="Arial" w:cs="Arial"/>
          <w:b/>
          <w:u w:val="single"/>
        </w:rPr>
        <w:t>:</w:t>
      </w:r>
    </w:p>
    <w:p w:rsidR="00F67377" w:rsidRDefault="00F67377" w:rsidP="005C6E7A">
      <w:pPr>
        <w:rPr>
          <w:rFonts w:ascii="Arial" w:hAnsi="Arial" w:cs="Arial"/>
          <w:sz w:val="28"/>
          <w:szCs w:val="28"/>
        </w:rPr>
      </w:pPr>
    </w:p>
    <w:p w:rsidR="002A3935" w:rsidRDefault="002A3935" w:rsidP="002A3935">
      <w:pPr>
        <w:rPr>
          <w:rFonts w:ascii="Arial" w:hAnsi="Arial" w:cs="Arial"/>
        </w:rPr>
      </w:pPr>
      <w:r>
        <w:rPr>
          <w:rFonts w:ascii="Arial" w:hAnsi="Arial" w:cs="Arial"/>
          <w:szCs w:val="28"/>
        </w:rPr>
        <w:t xml:space="preserve">Attached are the </w:t>
      </w:r>
      <w:r>
        <w:rPr>
          <w:rFonts w:ascii="Arial" w:hAnsi="Arial" w:cs="Arial"/>
        </w:rPr>
        <w:t>meter and regulator O&amp;M</w:t>
      </w:r>
      <w:r w:rsidRPr="00A5194E">
        <w:rPr>
          <w:rFonts w:ascii="Arial" w:hAnsi="Arial" w:cs="Arial"/>
        </w:rPr>
        <w:t xml:space="preserve"> </w:t>
      </w:r>
      <w:r>
        <w:rPr>
          <w:rFonts w:ascii="Arial" w:hAnsi="Arial" w:cs="Arial"/>
        </w:rPr>
        <w:t xml:space="preserve">accounts in </w:t>
      </w:r>
      <w:r w:rsidRPr="00A5194E">
        <w:rPr>
          <w:rFonts w:ascii="Arial" w:hAnsi="Arial" w:cs="Arial"/>
        </w:rPr>
        <w:t>Accounts 878 and 893</w:t>
      </w:r>
      <w:r>
        <w:rPr>
          <w:rFonts w:ascii="Arial" w:hAnsi="Arial" w:cs="Arial"/>
        </w:rPr>
        <w:t>.</w:t>
      </w:r>
    </w:p>
    <w:p w:rsidR="002A3935" w:rsidRDefault="002A3935" w:rsidP="002A3935">
      <w:pPr>
        <w:rPr>
          <w:rFonts w:ascii="Arial" w:hAnsi="Arial" w:cs="Arial"/>
        </w:rPr>
      </w:pPr>
    </w:p>
    <w:bookmarkStart w:id="4" w:name="_MON_1518939931"/>
    <w:bookmarkEnd w:id="4"/>
    <w:p w:rsidR="0044799D" w:rsidRDefault="0044799D" w:rsidP="0044799D">
      <w:pPr>
        <w:rPr>
          <w:rFonts w:ascii="Arial" w:hAnsi="Arial" w:cs="Arial"/>
        </w:rPr>
      </w:pPr>
      <w:r>
        <w:rPr>
          <w:rFonts w:ascii="Arial" w:hAnsi="Arial" w:cs="Arial"/>
        </w:rPr>
        <w:object w:dxaOrig="1530" w:dyaOrig="1002">
          <v:shape id="_x0000_i1038" type="#_x0000_t75" style="width:76.4pt;height:50.1pt" o:ole="">
            <v:imagedata r:id="rId37" o:title=""/>
          </v:shape>
          <o:OLEObject Type="Embed" ProgID="Excel.Sheet.12" ShapeID="_x0000_i1038" DrawAspect="Icon" ObjectID="_1519128193" r:id="rId38"/>
        </w:object>
      </w:r>
    </w:p>
    <w:p w:rsidR="002A3935" w:rsidRDefault="002A3935" w:rsidP="00F67377">
      <w:pPr>
        <w:rPr>
          <w:rFonts w:ascii="Arial" w:hAnsi="Arial" w:cs="Arial"/>
          <w:szCs w:val="28"/>
        </w:rPr>
      </w:pPr>
    </w:p>
    <w:p w:rsidR="002A3935" w:rsidRDefault="00AB14C0" w:rsidP="00F67377">
      <w:pPr>
        <w:rPr>
          <w:rFonts w:ascii="Arial" w:hAnsi="Arial" w:cs="Arial"/>
          <w:szCs w:val="28"/>
        </w:rPr>
      </w:pPr>
      <w:r>
        <w:rPr>
          <w:rFonts w:ascii="Arial" w:hAnsi="Arial" w:cs="Arial"/>
        </w:rPr>
        <w:t xml:space="preserve">Attached are the </w:t>
      </w:r>
      <w:r w:rsidR="002A3935" w:rsidRPr="00A5194E">
        <w:rPr>
          <w:rFonts w:ascii="Arial" w:hAnsi="Arial" w:cs="Arial"/>
        </w:rPr>
        <w:t xml:space="preserve">Customer Services </w:t>
      </w:r>
      <w:r>
        <w:rPr>
          <w:rFonts w:ascii="Arial" w:hAnsi="Arial" w:cs="Arial"/>
        </w:rPr>
        <w:t>O&amp;M Costs 870.65, 878, 879, 880 and</w:t>
      </w:r>
      <w:r w:rsidR="002A3935" w:rsidRPr="00A5194E">
        <w:rPr>
          <w:rFonts w:ascii="Arial" w:hAnsi="Arial" w:cs="Arial"/>
        </w:rPr>
        <w:t xml:space="preserve"> </w:t>
      </w:r>
      <w:r w:rsidR="00430623">
        <w:rPr>
          <w:rFonts w:ascii="Arial" w:hAnsi="Arial" w:cs="Arial"/>
        </w:rPr>
        <w:t xml:space="preserve">the </w:t>
      </w:r>
      <w:r w:rsidR="002A3935" w:rsidRPr="00A5194E">
        <w:rPr>
          <w:rFonts w:ascii="Arial" w:hAnsi="Arial" w:cs="Arial"/>
        </w:rPr>
        <w:t>Customer Accounting O&amp;M Costs 901, 902, 903, and 905</w:t>
      </w:r>
      <w:r w:rsidR="004C735F">
        <w:rPr>
          <w:rFonts w:ascii="Arial" w:hAnsi="Arial" w:cs="Arial"/>
        </w:rPr>
        <w:t>.</w:t>
      </w:r>
    </w:p>
    <w:p w:rsidR="002A3935" w:rsidRDefault="002A3935" w:rsidP="00F67377">
      <w:pPr>
        <w:rPr>
          <w:rFonts w:ascii="Arial" w:hAnsi="Arial" w:cs="Arial"/>
          <w:szCs w:val="28"/>
        </w:rPr>
      </w:pPr>
    </w:p>
    <w:bookmarkStart w:id="5" w:name="_MON_1519023161"/>
    <w:bookmarkEnd w:id="5"/>
    <w:p w:rsidR="00A85689" w:rsidRPr="00224F57" w:rsidRDefault="00B45F5F" w:rsidP="00F67377">
      <w:pPr>
        <w:rPr>
          <w:rFonts w:ascii="Arial" w:hAnsi="Arial" w:cs="Arial"/>
          <w:szCs w:val="28"/>
        </w:rPr>
      </w:pPr>
      <w:r w:rsidRPr="0044799D">
        <w:rPr>
          <w:rFonts w:ascii="Arial" w:hAnsi="Arial" w:cs="Arial"/>
        </w:rPr>
        <w:object w:dxaOrig="2040" w:dyaOrig="1339">
          <v:shape id="_x0000_i1039" type="#_x0000_t75" style="width:102.05pt;height:67pt" o:ole="">
            <v:imagedata r:id="rId39" o:title=""/>
          </v:shape>
          <o:OLEObject Type="Embed" ProgID="Excel.Sheet.12" ShapeID="_x0000_i1039" DrawAspect="Icon" ObjectID="_1519128194" r:id="rId40"/>
        </w:object>
      </w:r>
      <w:r w:rsidR="00F67377">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862118" w:rsidRDefault="00F67377" w:rsidP="00F67377">
      <w:pPr>
        <w:rPr>
          <w:rFonts w:ascii="Arial" w:hAnsi="Arial" w:cs="Arial"/>
        </w:rPr>
      </w:pPr>
      <w:r w:rsidRPr="00224F57">
        <w:rPr>
          <w:rFonts w:ascii="Arial" w:hAnsi="Arial" w:cs="Arial"/>
          <w:b/>
          <w:u w:val="single"/>
        </w:rPr>
        <w:t>QUESTION 29:</w:t>
      </w:r>
    </w:p>
    <w:p w:rsidR="00F67377" w:rsidRPr="0031141C" w:rsidRDefault="00F67377" w:rsidP="00F67377">
      <w:pPr>
        <w:rPr>
          <w:rFonts w:ascii="Arial" w:hAnsi="Arial" w:cs="Arial"/>
        </w:rPr>
      </w:pPr>
    </w:p>
    <w:p w:rsidR="001622DB" w:rsidRPr="00224F57" w:rsidRDefault="001622DB" w:rsidP="00224F57">
      <w:pPr>
        <w:spacing w:after="240"/>
        <w:rPr>
          <w:rFonts w:ascii="Arial" w:hAnsi="Arial" w:cs="Arial"/>
        </w:rPr>
      </w:pPr>
      <w:r w:rsidRPr="00224F57">
        <w:rPr>
          <w:rFonts w:ascii="Arial" w:hAnsi="Arial" w:cs="Arial"/>
        </w:rPr>
        <w:t>Please respond to the following questions related to SoCalGas’s treatment of A&amp;G and general plant loading factors for marginal cost:</w:t>
      </w:r>
    </w:p>
    <w:p w:rsidR="001622DB" w:rsidRPr="00A5194E" w:rsidRDefault="001622DB" w:rsidP="000F55F5">
      <w:pPr>
        <w:pStyle w:val="ListParagraph"/>
        <w:numPr>
          <w:ilvl w:val="1"/>
          <w:numId w:val="16"/>
        </w:numPr>
        <w:spacing w:before="0" w:beforeAutospacing="0" w:after="240" w:afterAutospacing="0"/>
        <w:rPr>
          <w:rFonts w:ascii="Arial" w:hAnsi="Arial" w:cs="Arial"/>
        </w:rPr>
      </w:pPr>
      <w:r w:rsidRPr="00A5194E">
        <w:rPr>
          <w:rFonts w:ascii="Arial" w:hAnsi="Arial" w:cs="Arial"/>
        </w:rPr>
        <w:t>In the calculations that assume all Employee Pensions and Benefits are Marginal Costs, did SoCalGas inadvertently include pensions and benefits from non-marginal A&amp;G labor costs in Account 920 as marginal costs?  If so, please estimate non-marginal labor in Account 920 as a percentage of total labor for SoCalGas.</w:t>
      </w:r>
    </w:p>
    <w:p w:rsidR="001622DB" w:rsidRPr="00A5194E" w:rsidRDefault="001622DB" w:rsidP="000F55F5">
      <w:pPr>
        <w:pStyle w:val="ListParagraph"/>
        <w:numPr>
          <w:ilvl w:val="1"/>
          <w:numId w:val="16"/>
        </w:numPr>
        <w:spacing w:before="0" w:beforeAutospacing="0" w:after="240" w:afterAutospacing="0"/>
        <w:rPr>
          <w:rFonts w:ascii="Arial" w:hAnsi="Arial" w:cs="Arial"/>
        </w:rPr>
      </w:pPr>
      <w:r w:rsidRPr="00A5194E">
        <w:rPr>
          <w:rFonts w:ascii="Arial" w:hAnsi="Arial" w:cs="Arial"/>
        </w:rPr>
        <w:t>In calculating the tax that funds EE, LIEE, CARE and other gas public goods programs, does SoCalGas include pensions, benefits, workers compensation, and other specific labor-related overhead costs for its employees in these programs in that calculation?  If not why not?  If so, please provide that figure consistent with the 2013 recorded figures used in this marginal cost filing.</w:t>
      </w:r>
    </w:p>
    <w:p w:rsidR="001622DB" w:rsidRPr="00A5194E" w:rsidRDefault="001622DB" w:rsidP="000F55F5">
      <w:pPr>
        <w:pStyle w:val="ListParagraph"/>
        <w:numPr>
          <w:ilvl w:val="1"/>
          <w:numId w:val="16"/>
        </w:numPr>
        <w:spacing w:before="0" w:beforeAutospacing="0" w:after="240" w:afterAutospacing="0"/>
        <w:rPr>
          <w:rFonts w:ascii="Arial" w:hAnsi="Arial" w:cs="Arial"/>
        </w:rPr>
      </w:pPr>
      <w:r w:rsidRPr="00A5194E">
        <w:rPr>
          <w:rFonts w:ascii="Arial" w:hAnsi="Arial" w:cs="Arial"/>
        </w:rPr>
        <w:t>If SoCalGas includes pensions, benefits, workers compensation, and other specific labor-related overhead costs for its employees working under programs funded by the state public goods tax, did SoCalGas remove costs included in that tax from its A&amp;G loader analysis in this marginal cost study?  If not, (a) explain why not; and (b) recalculate the A&amp;G loader analysis excluding the labor-related overhead costs recovered in the tax.</w:t>
      </w:r>
    </w:p>
    <w:p w:rsidR="001622DB" w:rsidRPr="00A5194E" w:rsidRDefault="001622DB" w:rsidP="000F55F5">
      <w:pPr>
        <w:pStyle w:val="ListParagraph"/>
        <w:numPr>
          <w:ilvl w:val="1"/>
          <w:numId w:val="16"/>
        </w:numPr>
        <w:spacing w:before="0" w:beforeAutospacing="0" w:after="240" w:afterAutospacing="0"/>
        <w:rPr>
          <w:rFonts w:ascii="Arial" w:hAnsi="Arial" w:cs="Arial"/>
        </w:rPr>
      </w:pPr>
      <w:r w:rsidRPr="00A5194E">
        <w:rPr>
          <w:rFonts w:ascii="Arial" w:hAnsi="Arial" w:cs="Arial"/>
        </w:rPr>
        <w:t xml:space="preserve">If SoCalGas does not include labor-related overheads for employees working in public goods programs funded by the state public goods tax in the costs recovered by the state public goods tax, please answer the following questions. </w:t>
      </w:r>
    </w:p>
    <w:p w:rsidR="001622DB" w:rsidRPr="00A5194E" w:rsidRDefault="001622DB" w:rsidP="000F55F5">
      <w:pPr>
        <w:pStyle w:val="ListParagraph"/>
        <w:numPr>
          <w:ilvl w:val="2"/>
          <w:numId w:val="16"/>
        </w:numPr>
        <w:spacing w:before="0" w:beforeAutospacing="0" w:after="240" w:afterAutospacing="0"/>
        <w:rPr>
          <w:rFonts w:ascii="Arial" w:hAnsi="Arial" w:cs="Arial"/>
        </w:rPr>
      </w:pPr>
      <w:r w:rsidRPr="00A5194E">
        <w:rPr>
          <w:rFonts w:ascii="Arial" w:hAnsi="Arial" w:cs="Arial"/>
        </w:rPr>
        <w:t>Please provide labor expenses associated with (a) energy efficiency (b) Low Income Energy Efficiency, and (c) the CARE program.</w:t>
      </w:r>
    </w:p>
    <w:p w:rsidR="00582C14" w:rsidRDefault="001622DB" w:rsidP="000F55F5">
      <w:pPr>
        <w:numPr>
          <w:ilvl w:val="2"/>
          <w:numId w:val="16"/>
        </w:numPr>
        <w:rPr>
          <w:rFonts w:ascii="Arial" w:hAnsi="Arial" w:cs="Arial"/>
        </w:rPr>
      </w:pPr>
      <w:r w:rsidRPr="00A5194E">
        <w:rPr>
          <w:rFonts w:ascii="Arial" w:hAnsi="Arial" w:cs="Arial"/>
        </w:rPr>
        <w:t>Please explain why pensions, benefits, and workers compensation expenses for public goods workers should not be considered non-marginal costs in the LRMC study, given that these costs are not affected by changes in labor associated with costs of transmission, storage, distribution, and customer functions.</w:t>
      </w:r>
    </w:p>
    <w:p w:rsidR="008F1DD5" w:rsidRDefault="008F1DD5" w:rsidP="008F1DD5">
      <w:pPr>
        <w:rPr>
          <w:rFonts w:ascii="Arial" w:hAnsi="Arial" w:cs="Arial"/>
        </w:rPr>
      </w:pPr>
    </w:p>
    <w:p w:rsidR="008F1DD5" w:rsidRDefault="008F1DD5" w:rsidP="008F1DD5">
      <w:pPr>
        <w:rPr>
          <w:rFonts w:ascii="Arial" w:hAnsi="Arial" w:cs="Arial"/>
        </w:rPr>
      </w:pPr>
    </w:p>
    <w:p w:rsidR="008F1DD5" w:rsidRDefault="008F1DD5" w:rsidP="008F1DD5">
      <w:pPr>
        <w:rPr>
          <w:rFonts w:ascii="Arial" w:hAnsi="Arial" w:cs="Arial"/>
        </w:rPr>
      </w:pPr>
    </w:p>
    <w:p w:rsidR="008F1DD5" w:rsidRDefault="008F1DD5" w:rsidP="008F1DD5">
      <w:pPr>
        <w:rPr>
          <w:rFonts w:ascii="Arial" w:hAnsi="Arial" w:cs="Arial"/>
        </w:rPr>
      </w:pPr>
    </w:p>
    <w:p w:rsidR="008F1DD5" w:rsidRDefault="008F1DD5" w:rsidP="008F1DD5">
      <w:pPr>
        <w:rPr>
          <w:rFonts w:ascii="Arial" w:hAnsi="Arial" w:cs="Arial"/>
        </w:rPr>
      </w:pPr>
    </w:p>
    <w:p w:rsidR="008F1DD5" w:rsidRPr="0031141C" w:rsidRDefault="008F1DD5" w:rsidP="008F1DD5">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29</w:t>
      </w:r>
      <w:r w:rsidRPr="00F759E8">
        <w:rPr>
          <w:rFonts w:ascii="Arial" w:hAnsi="Arial" w:cs="Arial"/>
          <w:b/>
          <w:u w:val="single"/>
        </w:rPr>
        <w:t>:</w:t>
      </w:r>
    </w:p>
    <w:p w:rsidR="00F67377" w:rsidRDefault="00F67377" w:rsidP="005C6E7A">
      <w:pPr>
        <w:rPr>
          <w:rFonts w:ascii="Arial" w:hAnsi="Arial" w:cs="Arial"/>
          <w:sz w:val="28"/>
          <w:szCs w:val="28"/>
        </w:rPr>
      </w:pPr>
    </w:p>
    <w:p w:rsidR="008F1DD5" w:rsidRPr="00802FDA" w:rsidRDefault="008F1DD5" w:rsidP="000F55F5">
      <w:pPr>
        <w:pStyle w:val="ListParagraph"/>
        <w:numPr>
          <w:ilvl w:val="1"/>
          <w:numId w:val="5"/>
        </w:numPr>
        <w:spacing w:before="0" w:beforeAutospacing="0" w:after="240" w:afterAutospacing="0"/>
        <w:rPr>
          <w:rFonts w:ascii="Arial" w:hAnsi="Arial" w:cs="Arial"/>
          <w:b/>
          <w:u w:val="single"/>
        </w:rPr>
      </w:pPr>
      <w:r>
        <w:rPr>
          <w:rFonts w:ascii="Arial" w:hAnsi="Arial" w:cs="Arial"/>
        </w:rPr>
        <w:t>No.</w:t>
      </w:r>
    </w:p>
    <w:p w:rsidR="008F1DD5" w:rsidRPr="00E977E3" w:rsidRDefault="008F1DD5" w:rsidP="000F55F5">
      <w:pPr>
        <w:pStyle w:val="ListParagraph"/>
        <w:numPr>
          <w:ilvl w:val="1"/>
          <w:numId w:val="5"/>
        </w:numPr>
        <w:spacing w:before="0" w:beforeAutospacing="0" w:after="240" w:afterAutospacing="0"/>
        <w:rPr>
          <w:rFonts w:ascii="Arial" w:hAnsi="Arial" w:cs="Arial"/>
          <w:b/>
          <w:u w:val="single"/>
        </w:rPr>
      </w:pPr>
      <w:r>
        <w:rPr>
          <w:rFonts w:ascii="Arial" w:hAnsi="Arial" w:cs="Arial"/>
        </w:rPr>
        <w:t xml:space="preserve">Vacation </w:t>
      </w:r>
      <w:r w:rsidR="00707577">
        <w:rPr>
          <w:rFonts w:ascii="Arial" w:hAnsi="Arial" w:cs="Arial"/>
        </w:rPr>
        <w:t>and</w:t>
      </w:r>
      <w:r>
        <w:rPr>
          <w:rFonts w:ascii="Arial" w:hAnsi="Arial" w:cs="Arial"/>
        </w:rPr>
        <w:t xml:space="preserve"> sick and payroll tax are the only labor-related overhead costs included in the Public Purpose Program (PPP) surcharge that funds LIEE, EE, and CARE programs.  All other labor-related overhead costs are excluded from the calculation of the PPP surcharge because those costs are funded through SoCalGas’ GRC.  2013 costs for vacation &amp; sick and payroll taxes for each of the programs are:</w:t>
      </w:r>
    </w:p>
    <w:tbl>
      <w:tblPr>
        <w:tblW w:w="6465" w:type="dxa"/>
        <w:tblInd w:w="2193" w:type="dxa"/>
        <w:tblLook w:val="04A0" w:firstRow="1" w:lastRow="0" w:firstColumn="1" w:lastColumn="0" w:noHBand="0" w:noVBand="1"/>
      </w:tblPr>
      <w:tblGrid>
        <w:gridCol w:w="1780"/>
        <w:gridCol w:w="1535"/>
        <w:gridCol w:w="1620"/>
        <w:gridCol w:w="1530"/>
      </w:tblGrid>
      <w:tr w:rsidR="008F1DD5" w:rsidTr="004A7CB8">
        <w:trPr>
          <w:trHeight w:val="300"/>
        </w:trPr>
        <w:tc>
          <w:tcPr>
            <w:tcW w:w="178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LIEE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EE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CARE</w:t>
            </w:r>
          </w:p>
        </w:tc>
      </w:tr>
      <w:tr w:rsidR="008F1DD5" w:rsidTr="004A7CB8">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F1DD5" w:rsidRDefault="008F1DD5" w:rsidP="004A7CB8">
            <w:pPr>
              <w:rPr>
                <w:rFonts w:ascii="Calibri" w:hAnsi="Calibri"/>
                <w:b/>
                <w:bCs/>
                <w:color w:val="000000"/>
                <w:sz w:val="22"/>
                <w:szCs w:val="22"/>
              </w:rPr>
            </w:pPr>
            <w:r>
              <w:rPr>
                <w:rFonts w:ascii="Calibri" w:hAnsi="Calibri"/>
                <w:b/>
                <w:bCs/>
                <w:color w:val="000000"/>
                <w:sz w:val="22"/>
                <w:szCs w:val="22"/>
              </w:rPr>
              <w:t>Vacation &amp; Sick</w:t>
            </w:r>
          </w:p>
        </w:tc>
        <w:tc>
          <w:tcPr>
            <w:tcW w:w="1535"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543,653 </w:t>
            </w:r>
          </w:p>
        </w:tc>
        <w:tc>
          <w:tcPr>
            <w:tcW w:w="162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2,030,717 </w:t>
            </w:r>
          </w:p>
        </w:tc>
        <w:tc>
          <w:tcPr>
            <w:tcW w:w="153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337,656 </w:t>
            </w:r>
          </w:p>
        </w:tc>
      </w:tr>
      <w:tr w:rsidR="008F1DD5" w:rsidTr="004A7CB8">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F1DD5" w:rsidRDefault="008F1DD5" w:rsidP="004A7CB8">
            <w:pPr>
              <w:rPr>
                <w:rFonts w:ascii="Calibri" w:hAnsi="Calibri"/>
                <w:b/>
                <w:bCs/>
                <w:color w:val="000000"/>
                <w:sz w:val="22"/>
                <w:szCs w:val="22"/>
              </w:rPr>
            </w:pPr>
            <w:r>
              <w:rPr>
                <w:rFonts w:ascii="Calibri" w:hAnsi="Calibri"/>
                <w:b/>
                <w:bCs/>
                <w:color w:val="000000"/>
                <w:sz w:val="22"/>
                <w:szCs w:val="22"/>
              </w:rPr>
              <w:t>Payroll Tax</w:t>
            </w:r>
          </w:p>
        </w:tc>
        <w:tc>
          <w:tcPr>
            <w:tcW w:w="1535"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334,562 </w:t>
            </w:r>
          </w:p>
        </w:tc>
        <w:tc>
          <w:tcPr>
            <w:tcW w:w="162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1,240,765 </w:t>
            </w:r>
          </w:p>
        </w:tc>
        <w:tc>
          <w:tcPr>
            <w:tcW w:w="153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208,316 </w:t>
            </w:r>
          </w:p>
        </w:tc>
      </w:tr>
    </w:tbl>
    <w:p w:rsidR="008F1DD5" w:rsidRPr="00BC4BB5" w:rsidRDefault="008F1DD5" w:rsidP="008F1DD5">
      <w:pPr>
        <w:pStyle w:val="ListParagraph"/>
        <w:spacing w:before="0" w:beforeAutospacing="0" w:after="240" w:afterAutospacing="0"/>
        <w:ind w:left="720"/>
        <w:rPr>
          <w:rFonts w:ascii="Arial" w:hAnsi="Arial" w:cs="Arial"/>
          <w:b/>
          <w:u w:val="single"/>
        </w:rPr>
      </w:pPr>
    </w:p>
    <w:p w:rsidR="008F1DD5" w:rsidRDefault="008F1DD5" w:rsidP="000F55F5">
      <w:pPr>
        <w:pStyle w:val="ListParagraph"/>
        <w:numPr>
          <w:ilvl w:val="1"/>
          <w:numId w:val="5"/>
        </w:numPr>
        <w:spacing w:before="0" w:beforeAutospacing="0" w:after="240" w:afterAutospacing="0"/>
        <w:rPr>
          <w:rFonts w:ascii="Arial" w:hAnsi="Arial" w:cs="Arial"/>
          <w:b/>
          <w:u w:val="single"/>
        </w:rPr>
      </w:pPr>
      <w:r>
        <w:rPr>
          <w:rFonts w:ascii="Arial" w:hAnsi="Arial" w:cs="Arial"/>
        </w:rPr>
        <w:t>As explained in b</w:t>
      </w:r>
      <w:r w:rsidR="00B30C04">
        <w:rPr>
          <w:rFonts w:ascii="Arial" w:hAnsi="Arial" w:cs="Arial"/>
        </w:rPr>
        <w:t>)</w:t>
      </w:r>
      <w:r w:rsidR="00C45605">
        <w:rPr>
          <w:rFonts w:ascii="Arial" w:hAnsi="Arial" w:cs="Arial"/>
        </w:rPr>
        <w:t xml:space="preserve"> above, vacation and sick</w:t>
      </w:r>
      <w:r w:rsidR="00707577">
        <w:rPr>
          <w:rFonts w:ascii="Arial" w:hAnsi="Arial" w:cs="Arial"/>
        </w:rPr>
        <w:t xml:space="preserve"> and payroll tax are the only labor-related overhead costs included in the Public Purpose Program (PPP) surcharge that funds LIEE, EE, and CARE programs.  A</w:t>
      </w:r>
      <w:r>
        <w:rPr>
          <w:rFonts w:ascii="Arial" w:hAnsi="Arial" w:cs="Arial"/>
        </w:rPr>
        <w:t xml:space="preserve">ll other labor-related overhead costs, including </w:t>
      </w:r>
      <w:r w:rsidRPr="00A5194E">
        <w:rPr>
          <w:rFonts w:ascii="Arial" w:hAnsi="Arial" w:cs="Arial"/>
        </w:rPr>
        <w:t xml:space="preserve">pensions, benefits, workers compensation, </w:t>
      </w:r>
      <w:r>
        <w:rPr>
          <w:rFonts w:ascii="Arial" w:hAnsi="Arial" w:cs="Arial"/>
        </w:rPr>
        <w:t>are excluded from the calculation of the PPP surcharge because those costs are funded through SoCalGas’ GRC.</w:t>
      </w:r>
    </w:p>
    <w:p w:rsidR="008F1DD5" w:rsidRPr="00E977E3" w:rsidRDefault="008F1DD5" w:rsidP="000F55F5">
      <w:pPr>
        <w:pStyle w:val="ListParagraph"/>
        <w:numPr>
          <w:ilvl w:val="1"/>
          <w:numId w:val="5"/>
        </w:numPr>
        <w:spacing w:before="0" w:beforeAutospacing="0" w:after="240" w:afterAutospacing="0"/>
        <w:rPr>
          <w:rFonts w:ascii="Arial" w:hAnsi="Arial" w:cs="Arial"/>
          <w:b/>
        </w:rPr>
      </w:pPr>
      <w:r w:rsidRPr="00BC4BB5">
        <w:rPr>
          <w:rFonts w:ascii="Arial" w:hAnsi="Arial" w:cs="Arial"/>
          <w:b/>
        </w:rPr>
        <w:t xml:space="preserve">i) </w:t>
      </w:r>
      <w:r>
        <w:rPr>
          <w:rFonts w:ascii="Arial" w:hAnsi="Arial" w:cs="Arial"/>
        </w:rPr>
        <w:t>2013 recorded labor expenses for LIEE, EE, and CARE are:</w:t>
      </w:r>
    </w:p>
    <w:tbl>
      <w:tblPr>
        <w:tblW w:w="7418" w:type="dxa"/>
        <w:tblInd w:w="1600" w:type="dxa"/>
        <w:tblLook w:val="04A0" w:firstRow="1" w:lastRow="0" w:firstColumn="1" w:lastColumn="0" w:noHBand="0" w:noVBand="1"/>
      </w:tblPr>
      <w:tblGrid>
        <w:gridCol w:w="2558"/>
        <w:gridCol w:w="1620"/>
        <w:gridCol w:w="1620"/>
        <w:gridCol w:w="1620"/>
      </w:tblGrid>
      <w:tr w:rsidR="008F1DD5" w:rsidTr="004A7CB8">
        <w:trPr>
          <w:trHeight w:val="300"/>
        </w:trPr>
        <w:tc>
          <w:tcPr>
            <w:tcW w:w="2558"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LIEE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EE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F1DD5" w:rsidRDefault="008F1DD5" w:rsidP="004A7CB8">
            <w:pPr>
              <w:jc w:val="center"/>
              <w:rPr>
                <w:rFonts w:ascii="Calibri" w:hAnsi="Calibri"/>
                <w:b/>
                <w:bCs/>
                <w:color w:val="000000"/>
                <w:sz w:val="22"/>
                <w:szCs w:val="22"/>
              </w:rPr>
            </w:pPr>
            <w:r>
              <w:rPr>
                <w:rFonts w:ascii="Calibri" w:hAnsi="Calibri"/>
                <w:b/>
                <w:bCs/>
                <w:color w:val="000000"/>
                <w:sz w:val="22"/>
                <w:szCs w:val="22"/>
              </w:rPr>
              <w:t>CARE</w:t>
            </w:r>
          </w:p>
        </w:tc>
      </w:tr>
      <w:tr w:rsidR="008F1DD5" w:rsidTr="004A7CB8">
        <w:trPr>
          <w:trHeight w:val="300"/>
        </w:trPr>
        <w:tc>
          <w:tcPr>
            <w:tcW w:w="2558" w:type="dxa"/>
            <w:tcBorders>
              <w:top w:val="nil"/>
              <w:left w:val="single" w:sz="4" w:space="0" w:color="auto"/>
              <w:bottom w:val="single" w:sz="4" w:space="0" w:color="auto"/>
              <w:right w:val="single" w:sz="4" w:space="0" w:color="auto"/>
            </w:tcBorders>
            <w:shd w:val="clear" w:color="auto" w:fill="auto"/>
            <w:noWrap/>
            <w:vAlign w:val="bottom"/>
            <w:hideMark/>
          </w:tcPr>
          <w:p w:rsidR="008F1DD5" w:rsidRDefault="008F1DD5" w:rsidP="004A7CB8">
            <w:pPr>
              <w:rPr>
                <w:rFonts w:ascii="Calibri" w:hAnsi="Calibri"/>
                <w:b/>
                <w:bCs/>
                <w:color w:val="000000"/>
                <w:sz w:val="22"/>
                <w:szCs w:val="22"/>
              </w:rPr>
            </w:pPr>
            <w:r>
              <w:rPr>
                <w:rFonts w:ascii="Calibri" w:hAnsi="Calibri"/>
                <w:b/>
                <w:bCs/>
                <w:color w:val="000000"/>
                <w:sz w:val="22"/>
                <w:szCs w:val="22"/>
              </w:rPr>
              <w:t>2013 Labor Expenses</w:t>
            </w:r>
          </w:p>
        </w:tc>
        <w:tc>
          <w:tcPr>
            <w:tcW w:w="162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3,453,336 </w:t>
            </w:r>
          </w:p>
        </w:tc>
        <w:tc>
          <w:tcPr>
            <w:tcW w:w="162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12,731,556 </w:t>
            </w:r>
          </w:p>
        </w:tc>
        <w:tc>
          <w:tcPr>
            <w:tcW w:w="1620" w:type="dxa"/>
            <w:tcBorders>
              <w:top w:val="nil"/>
              <w:left w:val="nil"/>
              <w:bottom w:val="single" w:sz="4" w:space="0" w:color="auto"/>
              <w:right w:val="single" w:sz="4" w:space="0" w:color="auto"/>
            </w:tcBorders>
            <w:shd w:val="clear" w:color="auto" w:fill="auto"/>
            <w:noWrap/>
            <w:vAlign w:val="bottom"/>
            <w:hideMark/>
          </w:tcPr>
          <w:p w:rsidR="008F1DD5" w:rsidRDefault="008F1DD5" w:rsidP="004A7CB8">
            <w:pPr>
              <w:rPr>
                <w:rFonts w:ascii="Calibri" w:hAnsi="Calibri"/>
                <w:color w:val="000000"/>
                <w:sz w:val="22"/>
                <w:szCs w:val="22"/>
              </w:rPr>
            </w:pPr>
            <w:r>
              <w:rPr>
                <w:rFonts w:ascii="Calibri" w:hAnsi="Calibri"/>
                <w:color w:val="000000"/>
                <w:sz w:val="22"/>
                <w:szCs w:val="22"/>
              </w:rPr>
              <w:t xml:space="preserve"> $     2,152,783 </w:t>
            </w:r>
          </w:p>
        </w:tc>
      </w:tr>
    </w:tbl>
    <w:p w:rsidR="008F1DD5" w:rsidRDefault="008F1DD5" w:rsidP="008F1DD5">
      <w:pPr>
        <w:pStyle w:val="ListParagraph"/>
        <w:spacing w:before="0" w:beforeAutospacing="0" w:after="240" w:afterAutospacing="0"/>
        <w:ind w:left="720"/>
        <w:rPr>
          <w:rFonts w:ascii="Arial" w:hAnsi="Arial" w:cs="Arial"/>
          <w:b/>
        </w:rPr>
      </w:pPr>
    </w:p>
    <w:p w:rsidR="008F1DD5" w:rsidRPr="00E977E3" w:rsidRDefault="008F1DD5" w:rsidP="008F1DD5">
      <w:pPr>
        <w:pStyle w:val="ListParagraph"/>
        <w:spacing w:before="0" w:beforeAutospacing="0" w:after="240" w:afterAutospacing="0"/>
        <w:ind w:left="720"/>
        <w:rPr>
          <w:rFonts w:ascii="Arial" w:hAnsi="Arial" w:cs="Arial"/>
        </w:rPr>
      </w:pPr>
      <w:r>
        <w:rPr>
          <w:rFonts w:ascii="Arial" w:hAnsi="Arial" w:cs="Arial"/>
        </w:rPr>
        <w:t xml:space="preserve">Vacation </w:t>
      </w:r>
      <w:r w:rsidR="004330F4">
        <w:rPr>
          <w:rFonts w:ascii="Arial" w:hAnsi="Arial" w:cs="Arial"/>
        </w:rPr>
        <w:t>and</w:t>
      </w:r>
      <w:r>
        <w:rPr>
          <w:rFonts w:ascii="Arial" w:hAnsi="Arial" w:cs="Arial"/>
        </w:rPr>
        <w:t xml:space="preserve"> sick and payroll tax costs were provided in response 29b) above.</w:t>
      </w:r>
    </w:p>
    <w:p w:rsidR="008F1DD5" w:rsidRPr="001D0397" w:rsidRDefault="00707EDE" w:rsidP="000F55F5">
      <w:pPr>
        <w:pStyle w:val="ListParagraph"/>
        <w:numPr>
          <w:ilvl w:val="0"/>
          <w:numId w:val="9"/>
        </w:numPr>
        <w:rPr>
          <w:rFonts w:ascii="Arial" w:hAnsi="Arial" w:cs="Arial"/>
        </w:rPr>
      </w:pPr>
      <w:r>
        <w:rPr>
          <w:rFonts w:ascii="Arial" w:hAnsi="Arial" w:cs="Arial"/>
        </w:rPr>
        <w:t>Pe</w:t>
      </w:r>
      <w:r w:rsidR="00233AAB" w:rsidRPr="00A5194E">
        <w:rPr>
          <w:rFonts w:ascii="Arial" w:hAnsi="Arial" w:cs="Arial"/>
        </w:rPr>
        <w:t xml:space="preserve">nsions, benefits, and workers compensation expenses for public goods workers </w:t>
      </w:r>
      <w:r>
        <w:rPr>
          <w:rFonts w:ascii="Arial" w:hAnsi="Arial" w:cs="Arial"/>
        </w:rPr>
        <w:t>are marginal costs</w:t>
      </w:r>
      <w:r w:rsidR="00C45605">
        <w:rPr>
          <w:rFonts w:ascii="Arial" w:hAnsi="Arial" w:cs="Arial"/>
        </w:rPr>
        <w:t>,</w:t>
      </w:r>
      <w:r>
        <w:rPr>
          <w:rFonts w:ascii="Arial" w:hAnsi="Arial" w:cs="Arial"/>
        </w:rPr>
        <w:t xml:space="preserve"> </w:t>
      </w:r>
      <w:r w:rsidRPr="00A5194E">
        <w:rPr>
          <w:rFonts w:ascii="Arial" w:hAnsi="Arial" w:cs="Arial"/>
        </w:rPr>
        <w:t xml:space="preserve">given that these costs are affected by changes in labor associated with </w:t>
      </w:r>
      <w:r>
        <w:rPr>
          <w:rFonts w:ascii="Arial" w:hAnsi="Arial" w:cs="Arial"/>
        </w:rPr>
        <w:t>the public goods programs.  The marginal cost of direct labor, vacation and sick, and payroll taxes for the public goods workers are included in the PPP surcharge and, therefore, are not in</w:t>
      </w:r>
      <w:r w:rsidR="00C45605">
        <w:rPr>
          <w:rFonts w:ascii="Arial" w:hAnsi="Arial" w:cs="Arial"/>
        </w:rPr>
        <w:t>cluded in the LRMC study.  Because</w:t>
      </w:r>
      <w:r>
        <w:rPr>
          <w:rFonts w:ascii="Arial" w:hAnsi="Arial" w:cs="Arial"/>
        </w:rPr>
        <w:t xml:space="preserve"> pe</w:t>
      </w:r>
      <w:r w:rsidRPr="00A5194E">
        <w:rPr>
          <w:rFonts w:ascii="Arial" w:hAnsi="Arial" w:cs="Arial"/>
        </w:rPr>
        <w:t>nsions, benefits, and workers compensation expenses for public goods workers</w:t>
      </w:r>
      <w:r>
        <w:rPr>
          <w:rFonts w:ascii="Arial" w:hAnsi="Arial" w:cs="Arial"/>
        </w:rPr>
        <w:t xml:space="preserve"> are not included in the PPP surcharge, they are included </w:t>
      </w:r>
      <w:r w:rsidR="00E119CC">
        <w:rPr>
          <w:rFonts w:ascii="Arial" w:hAnsi="Arial" w:cs="Arial"/>
        </w:rPr>
        <w:t>in</w:t>
      </w:r>
      <w:r>
        <w:rPr>
          <w:rFonts w:ascii="Arial" w:hAnsi="Arial" w:cs="Arial"/>
        </w:rPr>
        <w:t xml:space="preserve"> the LRMC study</w:t>
      </w:r>
      <w:r w:rsidR="008F1DD5" w:rsidRPr="001D0397">
        <w:rPr>
          <w:rFonts w:ascii="Arial" w:hAnsi="Arial" w:cs="Arial"/>
        </w:rPr>
        <w:t xml:space="preserve">.  </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224F57">
        <w:rPr>
          <w:rFonts w:ascii="Arial" w:hAnsi="Arial" w:cs="Arial"/>
          <w:b/>
          <w:u w:val="single"/>
        </w:rPr>
        <w:t>QUESTION 30:</w:t>
      </w:r>
    </w:p>
    <w:p w:rsidR="00F67377" w:rsidRPr="0031141C" w:rsidRDefault="00F67377" w:rsidP="00F67377">
      <w:pPr>
        <w:rPr>
          <w:rFonts w:ascii="Arial" w:hAnsi="Arial" w:cs="Arial"/>
        </w:rPr>
      </w:pPr>
    </w:p>
    <w:p w:rsidR="00BC332F" w:rsidRPr="00A5194E" w:rsidRDefault="00BC332F" w:rsidP="00BC332F">
      <w:pPr>
        <w:pStyle w:val="ListParagraph"/>
        <w:spacing w:before="0" w:beforeAutospacing="0" w:after="240" w:afterAutospacing="0"/>
        <w:rPr>
          <w:rFonts w:ascii="Arial" w:hAnsi="Arial" w:cs="Arial"/>
        </w:rPr>
      </w:pPr>
      <w:r w:rsidRPr="00A5194E">
        <w:rPr>
          <w:rFonts w:ascii="Arial" w:hAnsi="Arial" w:cs="Arial"/>
        </w:rPr>
        <w:t>Do the capital costs and/or installation costs of meters for SDG&amp;E presented in the marginal cost study include the costs of Automatic Meter Infrastructure (AMI)?  If so, what are those costs?</w:t>
      </w:r>
    </w:p>
    <w:p w:rsidR="00582C14" w:rsidRPr="0031141C" w:rsidRDefault="00582C14" w:rsidP="00F67377">
      <w:pPr>
        <w:rPr>
          <w:rFonts w:ascii="Arial" w:hAnsi="Arial" w:cs="Arial"/>
        </w:rPr>
      </w:pPr>
    </w:p>
    <w:p w:rsidR="00F67377"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30</w:t>
      </w:r>
      <w:r w:rsidRPr="00F759E8">
        <w:rPr>
          <w:rFonts w:ascii="Arial" w:hAnsi="Arial" w:cs="Arial"/>
          <w:b/>
          <w:u w:val="single"/>
        </w:rPr>
        <w:t>:</w:t>
      </w:r>
    </w:p>
    <w:p w:rsidR="00224F57" w:rsidRPr="00F759E8" w:rsidRDefault="00224F57" w:rsidP="00F67377">
      <w:pPr>
        <w:rPr>
          <w:rFonts w:ascii="Arial" w:hAnsi="Arial" w:cs="Arial"/>
          <w:b/>
          <w:u w:val="single"/>
        </w:rPr>
      </w:pPr>
    </w:p>
    <w:p w:rsidR="00F67377" w:rsidRDefault="008F1DD5" w:rsidP="005C6E7A">
      <w:pPr>
        <w:rPr>
          <w:rFonts w:ascii="Arial" w:hAnsi="Arial" w:cs="Arial"/>
          <w:sz w:val="28"/>
          <w:szCs w:val="28"/>
        </w:rPr>
      </w:pPr>
      <w:r w:rsidRPr="00D25297">
        <w:rPr>
          <w:rFonts w:ascii="Arial" w:hAnsi="Arial" w:cs="Arial"/>
        </w:rPr>
        <w:t>No.</w:t>
      </w:r>
      <w:r>
        <w:rPr>
          <w:rFonts w:ascii="Arial" w:hAnsi="Arial" w:cs="Arial"/>
        </w:rPr>
        <w:t xml:space="preserve"> The meter costs presented do include the costs of the AMR </w:t>
      </w:r>
      <w:r w:rsidRPr="00F462D0">
        <w:rPr>
          <w:rFonts w:ascii="Arial" w:hAnsi="Arial" w:cs="Arial"/>
          <w:u w:val="single"/>
        </w:rPr>
        <w:t>module</w:t>
      </w:r>
      <w:r w:rsidR="00D45A57">
        <w:rPr>
          <w:rFonts w:ascii="Arial" w:hAnsi="Arial" w:cs="Arial"/>
          <w:u w:val="single"/>
        </w:rPr>
        <w:t>s</w:t>
      </w:r>
      <w:r>
        <w:rPr>
          <w:rFonts w:ascii="Arial" w:hAnsi="Arial" w:cs="Arial"/>
        </w:rPr>
        <w:t xml:space="preserve"> purchased with the meter, but they do not include any costs or allocation of costs for</w:t>
      </w:r>
      <w:r w:rsidR="00C45605">
        <w:rPr>
          <w:rFonts w:ascii="Arial" w:hAnsi="Arial" w:cs="Arial"/>
        </w:rPr>
        <w:t xml:space="preserve"> the AMI infrastructure (system-</w:t>
      </w:r>
      <w:r>
        <w:rPr>
          <w:rFonts w:ascii="Arial" w:hAnsi="Arial" w:cs="Arial"/>
        </w:rPr>
        <w:t>wide equipment and operating costs for operating the AMR modules).</w:t>
      </w:r>
    </w:p>
    <w:p w:rsidR="0031141C" w:rsidRPr="00D25297" w:rsidRDefault="0031141C" w:rsidP="0031141C">
      <w:pPr>
        <w:rPr>
          <w:rFonts w:ascii="Arial" w:hAnsi="Arial" w:cs="Arial"/>
        </w:rPr>
      </w:pPr>
      <w:r w:rsidRPr="00D25297">
        <w:rPr>
          <w:rFonts w:ascii="Arial" w:hAnsi="Arial" w:cs="Arial"/>
        </w:rPr>
        <w:br w:type="page"/>
      </w:r>
    </w:p>
    <w:p w:rsidR="00BC332F" w:rsidRDefault="00BC332F" w:rsidP="0031141C">
      <w:pPr>
        <w:rPr>
          <w:rFonts w:ascii="Arial" w:hAnsi="Arial" w:cs="Arial"/>
          <w:b/>
          <w:u w:val="single"/>
        </w:rPr>
      </w:pPr>
    </w:p>
    <w:p w:rsidR="00BC332F" w:rsidRDefault="00BC332F" w:rsidP="0031141C">
      <w:pPr>
        <w:rPr>
          <w:rFonts w:ascii="Arial" w:hAnsi="Arial" w:cs="Arial"/>
          <w:b/>
          <w:u w:val="single"/>
        </w:rPr>
      </w:pPr>
    </w:p>
    <w:p w:rsidR="000B3FF9" w:rsidRPr="0031141C" w:rsidRDefault="0031141C" w:rsidP="0031141C">
      <w:pPr>
        <w:rPr>
          <w:rFonts w:ascii="Arial" w:hAnsi="Arial" w:cs="Arial"/>
        </w:rPr>
      </w:pPr>
      <w:r w:rsidRPr="00B05282">
        <w:rPr>
          <w:rFonts w:ascii="Arial" w:hAnsi="Arial" w:cs="Arial"/>
          <w:b/>
          <w:u w:val="single"/>
        </w:rPr>
        <w:t>QUESTION 31:</w:t>
      </w:r>
    </w:p>
    <w:p w:rsidR="00B05282" w:rsidRDefault="00B05282" w:rsidP="00B05282">
      <w:pPr>
        <w:spacing w:after="240"/>
        <w:rPr>
          <w:rFonts w:ascii="Arial" w:hAnsi="Arial" w:cs="Arial"/>
        </w:rPr>
      </w:pPr>
    </w:p>
    <w:p w:rsidR="00BC332F" w:rsidRPr="00B05282" w:rsidRDefault="00BC332F" w:rsidP="00B05282">
      <w:pPr>
        <w:spacing w:after="240"/>
        <w:rPr>
          <w:rFonts w:ascii="Arial" w:hAnsi="Arial" w:cs="Arial"/>
        </w:rPr>
      </w:pPr>
      <w:r w:rsidRPr="00B05282">
        <w:rPr>
          <w:rFonts w:ascii="Arial" w:hAnsi="Arial" w:cs="Arial"/>
        </w:rPr>
        <w:t>Provide the following information monthly from 2012 through the latest available month in 2015 for SDG&amp;E:</w:t>
      </w:r>
    </w:p>
    <w:p w:rsidR="00BC332F" w:rsidRPr="00A5194E" w:rsidRDefault="00BC332F" w:rsidP="000F55F5">
      <w:pPr>
        <w:pStyle w:val="ListParagraph"/>
        <w:numPr>
          <w:ilvl w:val="1"/>
          <w:numId w:val="17"/>
        </w:numPr>
        <w:spacing w:before="0" w:beforeAutospacing="0" w:after="240" w:afterAutospacing="0"/>
        <w:rPr>
          <w:rFonts w:ascii="Arial" w:hAnsi="Arial" w:cs="Arial"/>
        </w:rPr>
      </w:pPr>
      <w:r w:rsidRPr="00A5194E">
        <w:rPr>
          <w:rFonts w:ascii="Arial" w:hAnsi="Arial" w:cs="Arial"/>
        </w:rPr>
        <w:t>Number of gas meters read manually.</w:t>
      </w:r>
      <w:r w:rsidR="000B3FF9">
        <w:rPr>
          <w:rFonts w:ascii="Arial" w:hAnsi="Arial" w:cs="Arial"/>
        </w:rPr>
        <w:t xml:space="preserve"> </w:t>
      </w:r>
    </w:p>
    <w:p w:rsidR="00BC332F" w:rsidRPr="00A5194E" w:rsidRDefault="00BC332F" w:rsidP="000F55F5">
      <w:pPr>
        <w:pStyle w:val="ListParagraph"/>
        <w:numPr>
          <w:ilvl w:val="1"/>
          <w:numId w:val="17"/>
        </w:numPr>
        <w:spacing w:before="0" w:beforeAutospacing="0" w:after="240" w:afterAutospacing="0"/>
        <w:rPr>
          <w:rFonts w:ascii="Arial" w:hAnsi="Arial" w:cs="Arial"/>
        </w:rPr>
      </w:pPr>
      <w:r w:rsidRPr="00A5194E">
        <w:rPr>
          <w:rFonts w:ascii="Arial" w:hAnsi="Arial" w:cs="Arial"/>
        </w:rPr>
        <w:t>Number of meter readers (full-time equivalent – gas and electric).</w:t>
      </w:r>
    </w:p>
    <w:p w:rsidR="00BC332F" w:rsidRPr="00A5194E" w:rsidRDefault="00BC332F" w:rsidP="000F55F5">
      <w:pPr>
        <w:pStyle w:val="ListParagraph"/>
        <w:numPr>
          <w:ilvl w:val="1"/>
          <w:numId w:val="17"/>
        </w:numPr>
        <w:spacing w:before="0" w:beforeAutospacing="0" w:after="240" w:afterAutospacing="0"/>
        <w:rPr>
          <w:rFonts w:ascii="Arial" w:hAnsi="Arial" w:cs="Arial"/>
        </w:rPr>
      </w:pPr>
      <w:r w:rsidRPr="00A5194E">
        <w:rPr>
          <w:rFonts w:ascii="Arial" w:hAnsi="Arial" w:cs="Arial"/>
        </w:rPr>
        <w:t>Costs booked to FERC Account 902, divided into electric and gas and further divided into labor and non-labor.</w:t>
      </w:r>
    </w:p>
    <w:p w:rsidR="0031141C" w:rsidRPr="0031141C" w:rsidRDefault="0031141C" w:rsidP="0031141C">
      <w:pPr>
        <w:rPr>
          <w:rFonts w:ascii="Arial" w:hAnsi="Arial" w:cs="Arial"/>
        </w:rPr>
      </w:pPr>
    </w:p>
    <w:p w:rsidR="0031141C" w:rsidRPr="00F759E8" w:rsidRDefault="0031141C" w:rsidP="0031141C">
      <w:pPr>
        <w:rPr>
          <w:rFonts w:ascii="Arial" w:hAnsi="Arial" w:cs="Arial"/>
          <w:b/>
          <w:u w:val="single"/>
        </w:rPr>
      </w:pPr>
      <w:r w:rsidRPr="00F759E8">
        <w:rPr>
          <w:rFonts w:ascii="Arial" w:hAnsi="Arial" w:cs="Arial"/>
          <w:b/>
          <w:u w:val="single"/>
        </w:rPr>
        <w:t xml:space="preserve">RESPONSE </w:t>
      </w:r>
      <w:r>
        <w:rPr>
          <w:rFonts w:ascii="Arial" w:hAnsi="Arial" w:cs="Arial"/>
          <w:b/>
          <w:u w:val="single"/>
        </w:rPr>
        <w:t>31</w:t>
      </w:r>
      <w:r w:rsidRPr="00F759E8">
        <w:rPr>
          <w:rFonts w:ascii="Arial" w:hAnsi="Arial" w:cs="Arial"/>
          <w:b/>
          <w:u w:val="single"/>
        </w:rPr>
        <w:t>:</w:t>
      </w:r>
    </w:p>
    <w:p w:rsidR="00F67377" w:rsidRDefault="00F67377" w:rsidP="005C6E7A">
      <w:pPr>
        <w:rPr>
          <w:rFonts w:ascii="Arial" w:hAnsi="Arial" w:cs="Arial"/>
          <w:sz w:val="28"/>
          <w:szCs w:val="28"/>
        </w:rPr>
      </w:pPr>
    </w:p>
    <w:p w:rsidR="00B05282" w:rsidRPr="00B05282" w:rsidRDefault="008F1DD5" w:rsidP="000F55F5">
      <w:pPr>
        <w:pStyle w:val="ListParagraph"/>
        <w:numPr>
          <w:ilvl w:val="2"/>
          <w:numId w:val="5"/>
        </w:numPr>
        <w:rPr>
          <w:rFonts w:ascii="Arial" w:hAnsi="Arial" w:cs="Arial"/>
        </w:rPr>
      </w:pPr>
      <w:r w:rsidRPr="00B05282">
        <w:rPr>
          <w:rFonts w:ascii="Arial" w:hAnsi="Arial" w:cs="Arial"/>
        </w:rPr>
        <w:t>and b) See attachment</w:t>
      </w:r>
    </w:p>
    <w:p w:rsidR="00970555" w:rsidRDefault="008F1DD5" w:rsidP="0031141C">
      <w:r w:rsidRPr="00123756">
        <w:rPr>
          <w:rFonts w:ascii="Arial" w:hAnsi="Arial" w:cs="Arial"/>
        </w:rPr>
        <w:t xml:space="preserve"> </w:t>
      </w:r>
      <w:r w:rsidR="0066262C">
        <w:object w:dxaOrig="2040" w:dyaOrig="1339">
          <v:shape id="_x0000_i1040" type="#_x0000_t75" style="width:102.05pt;height:67.6pt" o:ole="">
            <v:imagedata r:id="rId41" o:title=""/>
          </v:shape>
          <o:OLEObject Type="Embed" ProgID="Excel.Sheet.12" ShapeID="_x0000_i1040" DrawAspect="Icon" ObjectID="_1519128195" r:id="rId42"/>
        </w:object>
      </w:r>
    </w:p>
    <w:p w:rsidR="00970555" w:rsidRDefault="00970555" w:rsidP="0031141C"/>
    <w:p w:rsidR="000F55F5" w:rsidRPr="000F55F5" w:rsidRDefault="000F55F5" w:rsidP="000F55F5">
      <w:pPr>
        <w:pStyle w:val="ListParagraph"/>
        <w:numPr>
          <w:ilvl w:val="2"/>
          <w:numId w:val="18"/>
        </w:numPr>
        <w:rPr>
          <w:rFonts w:ascii="Arial" w:hAnsi="Arial" w:cs="Arial"/>
          <w:szCs w:val="28"/>
        </w:rPr>
      </w:pPr>
      <w:r>
        <w:rPr>
          <w:rFonts w:ascii="Arial" w:hAnsi="Arial" w:cs="Arial"/>
          <w:szCs w:val="28"/>
        </w:rPr>
        <w:t>See attachment</w:t>
      </w:r>
    </w:p>
    <w:p w:rsidR="00B05282" w:rsidRPr="00B05282" w:rsidRDefault="000F55F5" w:rsidP="000F55F5">
      <w:pPr>
        <w:pStyle w:val="ListParagraph"/>
        <w:ind w:left="1080"/>
        <w:rPr>
          <w:rFonts w:ascii="Arial" w:hAnsi="Arial" w:cs="Arial"/>
          <w:szCs w:val="28"/>
        </w:rPr>
      </w:pPr>
      <w:r>
        <w:object w:dxaOrig="2040" w:dyaOrig="1339">
          <v:shape id="_x0000_i1041" type="#_x0000_t75" style="width:102.05pt;height:67pt" o:ole="">
            <v:imagedata r:id="rId43" o:title=""/>
          </v:shape>
          <o:OLEObject Type="Embed" ProgID="Excel.Sheet.12" ShapeID="_x0000_i1041" DrawAspect="Icon" ObjectID="_1519128196" r:id="rId44"/>
        </w:object>
      </w:r>
    </w:p>
    <w:p w:rsidR="0031141C" w:rsidRPr="00970555" w:rsidRDefault="0031141C" w:rsidP="00970555">
      <w:pPr>
        <w:rPr>
          <w:rFonts w:ascii="Arial" w:hAnsi="Arial" w:cs="Arial"/>
        </w:rPr>
      </w:pPr>
      <w:r w:rsidRPr="00970555">
        <w:rPr>
          <w:rFonts w:ascii="Arial" w:hAnsi="Arial" w:cs="Arial"/>
        </w:rPr>
        <w:br w:type="page"/>
      </w:r>
    </w:p>
    <w:p w:rsidR="00BC332F" w:rsidRDefault="00BC332F" w:rsidP="0031141C">
      <w:pPr>
        <w:rPr>
          <w:rFonts w:ascii="Arial" w:hAnsi="Arial" w:cs="Arial"/>
          <w:b/>
          <w:u w:val="single"/>
        </w:rPr>
      </w:pPr>
    </w:p>
    <w:p w:rsidR="00BC332F" w:rsidRDefault="00BC332F" w:rsidP="0031141C">
      <w:pPr>
        <w:rPr>
          <w:rFonts w:ascii="Arial" w:hAnsi="Arial" w:cs="Arial"/>
          <w:b/>
          <w:u w:val="single"/>
        </w:rPr>
      </w:pPr>
    </w:p>
    <w:p w:rsidR="0031141C" w:rsidRPr="00964695" w:rsidRDefault="0031141C" w:rsidP="0031141C">
      <w:pPr>
        <w:rPr>
          <w:rFonts w:ascii="Arial" w:hAnsi="Arial" w:cs="Arial"/>
        </w:rPr>
      </w:pPr>
      <w:r w:rsidRPr="00B05282">
        <w:rPr>
          <w:rFonts w:ascii="Arial" w:hAnsi="Arial" w:cs="Arial"/>
          <w:b/>
          <w:u w:val="single"/>
        </w:rPr>
        <w:t>QUESTION 32</w:t>
      </w:r>
      <w:r w:rsidRPr="00B05282">
        <w:rPr>
          <w:rFonts w:ascii="Arial" w:hAnsi="Arial" w:cs="Arial"/>
        </w:rPr>
        <w:t>:</w:t>
      </w:r>
    </w:p>
    <w:p w:rsidR="0031141C" w:rsidRPr="0031141C" w:rsidRDefault="0031141C" w:rsidP="0031141C">
      <w:pPr>
        <w:rPr>
          <w:rFonts w:ascii="Arial" w:hAnsi="Arial" w:cs="Arial"/>
        </w:rPr>
      </w:pPr>
    </w:p>
    <w:p w:rsidR="00BC332F" w:rsidRPr="00B05282" w:rsidRDefault="00BC332F" w:rsidP="00B05282">
      <w:pPr>
        <w:spacing w:after="240"/>
        <w:rPr>
          <w:rFonts w:ascii="Arial" w:hAnsi="Arial" w:cs="Arial"/>
        </w:rPr>
      </w:pPr>
      <w:r w:rsidRPr="00B05282">
        <w:rPr>
          <w:rFonts w:ascii="Arial" w:hAnsi="Arial" w:cs="Arial"/>
        </w:rPr>
        <w:t>Please provide the following statistics on gas distribution mains and services for SDG&amp;E at the end of the latest available year:</w:t>
      </w:r>
      <w:r w:rsidR="000B3FF9" w:rsidRPr="00B05282">
        <w:rPr>
          <w:rFonts w:ascii="Arial" w:hAnsi="Arial" w:cs="Arial"/>
        </w:rPr>
        <w:t xml:space="preserve">  </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steel distribution mains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steel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steel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plastic distribution mains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plastic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plastic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other distribution mains (e.g., cast iron)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miles of other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Number of other services by size of pipe.</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 xml:space="preserve">How many miles of gas main, </w:t>
      </w:r>
      <w:r w:rsidRPr="00A5194E">
        <w:rPr>
          <w:rFonts w:ascii="Arial" w:hAnsi="Arial" w:cs="Arial"/>
          <w:u w:val="single"/>
        </w:rPr>
        <w:t>divided into steel and plastic</w:t>
      </w:r>
      <w:r w:rsidRPr="00A5194E">
        <w:rPr>
          <w:rFonts w:ascii="Arial" w:hAnsi="Arial" w:cs="Arial"/>
        </w:rPr>
        <w:t>, are high pressure mains and how many are medium pressure mains?</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Please provide relevant Handy-Whitman price escalators for gas mains.</w:t>
      </w:r>
    </w:p>
    <w:p w:rsidR="00BC332F" w:rsidRPr="00A5194E" w:rsidRDefault="00BC332F" w:rsidP="000F55F5">
      <w:pPr>
        <w:pStyle w:val="ListParagraph"/>
        <w:numPr>
          <w:ilvl w:val="1"/>
          <w:numId w:val="19"/>
        </w:numPr>
        <w:spacing w:before="0" w:beforeAutospacing="0" w:after="240" w:afterAutospacing="0"/>
        <w:rPr>
          <w:rFonts w:ascii="Arial" w:hAnsi="Arial" w:cs="Arial"/>
        </w:rPr>
      </w:pPr>
      <w:r w:rsidRPr="00A5194E">
        <w:rPr>
          <w:rFonts w:ascii="Arial" w:hAnsi="Arial" w:cs="Arial"/>
        </w:rPr>
        <w:t>If available, please provide a data base showing the number of miles and cost of gas distribution mains currently in service by size and type of pipe installed in each year.</w:t>
      </w:r>
    </w:p>
    <w:p w:rsidR="0031141C" w:rsidRDefault="0031141C"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8F1DD5" w:rsidRDefault="008F1DD5" w:rsidP="0031141C">
      <w:pPr>
        <w:rPr>
          <w:rFonts w:ascii="Arial" w:hAnsi="Arial" w:cs="Arial"/>
          <w:b/>
          <w:u w:val="single"/>
        </w:rPr>
      </w:pPr>
    </w:p>
    <w:p w:rsidR="0031141C" w:rsidRPr="00F759E8" w:rsidRDefault="0031141C" w:rsidP="0031141C">
      <w:pPr>
        <w:rPr>
          <w:rFonts w:ascii="Arial" w:hAnsi="Arial" w:cs="Arial"/>
          <w:b/>
          <w:u w:val="single"/>
        </w:rPr>
      </w:pPr>
      <w:r w:rsidRPr="00F759E8">
        <w:rPr>
          <w:rFonts w:ascii="Arial" w:hAnsi="Arial" w:cs="Arial"/>
          <w:b/>
          <w:u w:val="single"/>
        </w:rPr>
        <w:t xml:space="preserve">RESPONSE </w:t>
      </w:r>
      <w:r>
        <w:rPr>
          <w:rFonts w:ascii="Arial" w:hAnsi="Arial" w:cs="Arial"/>
          <w:b/>
          <w:u w:val="single"/>
        </w:rPr>
        <w:t>32</w:t>
      </w:r>
      <w:r w:rsidRPr="00F759E8">
        <w:rPr>
          <w:rFonts w:ascii="Arial" w:hAnsi="Arial" w:cs="Arial"/>
          <w:b/>
          <w:u w:val="single"/>
        </w:rPr>
        <w:t>:</w:t>
      </w:r>
    </w:p>
    <w:p w:rsidR="008F1DD5" w:rsidRDefault="008F1DD5" w:rsidP="008F1DD5">
      <w:pPr>
        <w:rPr>
          <w:rFonts w:ascii="Arial" w:hAnsi="Arial" w:cs="Arial"/>
          <w:b/>
          <w:u w:val="single"/>
        </w:rPr>
      </w:pPr>
    </w:p>
    <w:p w:rsidR="008F1DD5" w:rsidRDefault="00B05282" w:rsidP="008F1DD5">
      <w:pPr>
        <w:pStyle w:val="ListParagraph"/>
        <w:spacing w:before="0" w:beforeAutospacing="0" w:after="240" w:afterAutospacing="0"/>
        <w:rPr>
          <w:rFonts w:ascii="Arial" w:hAnsi="Arial" w:cs="Arial"/>
        </w:rPr>
      </w:pPr>
      <w:r>
        <w:rPr>
          <w:rFonts w:ascii="Arial" w:hAnsi="Arial" w:cs="Arial"/>
        </w:rPr>
        <w:t>Responses to a) – f) and l</w:t>
      </w:r>
      <w:r w:rsidR="008F1DD5">
        <w:rPr>
          <w:rFonts w:ascii="Arial" w:hAnsi="Arial" w:cs="Arial"/>
        </w:rPr>
        <w:t xml:space="preserve">) are drawn from the Annual Report for Calendar Year 2014 – Gas Distribution System, Form PHMSA F 7100.1-1 (rev 01-2011) submitted by SDG&amp;E to the </w:t>
      </w:r>
      <w:r w:rsidR="0066262C">
        <w:rPr>
          <w:rFonts w:ascii="Arial" w:hAnsi="Arial" w:cs="Arial"/>
        </w:rPr>
        <w:t>Department of Transportation (</w:t>
      </w:r>
      <w:r w:rsidR="008F1DD5">
        <w:rPr>
          <w:rFonts w:ascii="Arial" w:hAnsi="Arial" w:cs="Arial"/>
        </w:rPr>
        <w:t>DOT</w:t>
      </w:r>
      <w:r w:rsidR="0066262C">
        <w:rPr>
          <w:rFonts w:ascii="Arial" w:hAnsi="Arial" w:cs="Arial"/>
        </w:rPr>
        <w:t>)</w:t>
      </w:r>
      <w:r w:rsidR="008F1DD5">
        <w:rPr>
          <w:rFonts w:ascii="Arial" w:hAnsi="Arial" w:cs="Arial"/>
        </w:rPr>
        <w:t>:</w:t>
      </w:r>
    </w:p>
    <w:p w:rsidR="008F1DD5" w:rsidRDefault="008F1DD5" w:rsidP="000F55F5">
      <w:pPr>
        <w:pStyle w:val="ListParagraph"/>
        <w:numPr>
          <w:ilvl w:val="0"/>
          <w:numId w:val="6"/>
        </w:numPr>
        <w:spacing w:before="0" w:beforeAutospacing="0" w:after="240" w:afterAutospacing="0"/>
        <w:rPr>
          <w:rFonts w:ascii="Arial" w:hAnsi="Arial" w:cs="Arial"/>
        </w:rPr>
      </w:pPr>
      <w:r>
        <w:rPr>
          <w:noProof/>
        </w:rPr>
        <w:drawing>
          <wp:anchor distT="0" distB="0" distL="114300" distR="114300" simplePos="0" relativeHeight="251659264" behindDoc="1" locked="0" layoutInCell="1" allowOverlap="1" wp14:anchorId="448A5B10" wp14:editId="0AD455D9">
            <wp:simplePos x="0" y="0"/>
            <wp:positionH relativeFrom="column">
              <wp:posOffset>200025</wp:posOffset>
            </wp:positionH>
            <wp:positionV relativeFrom="paragraph">
              <wp:posOffset>259398</wp:posOffset>
            </wp:positionV>
            <wp:extent cx="5943600" cy="6045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604520"/>
                    </a:xfrm>
                    <a:prstGeom prst="rect">
                      <a:avLst/>
                    </a:prstGeom>
                  </pic:spPr>
                </pic:pic>
              </a:graphicData>
            </a:graphic>
            <wp14:sizeRelH relativeFrom="page">
              <wp14:pctWidth>0</wp14:pctWidth>
            </wp14:sizeRelH>
            <wp14:sizeRelV relativeFrom="page">
              <wp14:pctHeight>0</wp14:pctHeight>
            </wp14:sizeRelV>
          </wp:anchor>
        </w:drawing>
      </w:r>
      <w:r w:rsidRPr="00A5194E">
        <w:rPr>
          <w:rFonts w:ascii="Arial" w:hAnsi="Arial" w:cs="Arial"/>
        </w:rPr>
        <w:t>Number of miles of steel distribution mains by size of pipe.</w:t>
      </w: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Pr="007A0594" w:rsidRDefault="008F1DD5" w:rsidP="008F1DD5">
      <w:pPr>
        <w:spacing w:after="240"/>
        <w:ind w:left="720"/>
        <w:rPr>
          <w:rFonts w:ascii="Arial" w:hAnsi="Arial" w:cs="Arial"/>
        </w:rPr>
      </w:pPr>
      <w:r w:rsidRPr="00CC07B7">
        <w:rPr>
          <w:noProof/>
        </w:rPr>
        <w:drawing>
          <wp:anchor distT="0" distB="0" distL="114300" distR="114300" simplePos="0" relativeHeight="251661312" behindDoc="1" locked="0" layoutInCell="1" allowOverlap="1" wp14:anchorId="0EEE21EE" wp14:editId="60984E7F">
            <wp:simplePos x="0" y="0"/>
            <wp:positionH relativeFrom="column">
              <wp:posOffset>199813</wp:posOffset>
            </wp:positionH>
            <wp:positionV relativeFrom="paragraph">
              <wp:posOffset>267969</wp:posOffset>
            </wp:positionV>
            <wp:extent cx="5765800" cy="815999"/>
            <wp:effectExtent l="19050" t="19050" r="2540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65213" cy="8159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0594">
        <w:rPr>
          <w:rFonts w:ascii="Arial" w:hAnsi="Arial" w:cs="Arial"/>
        </w:rPr>
        <w:t>b) Number of miles of steel services by size of pipe.</w:t>
      </w: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pStyle w:val="ListParagraph"/>
        <w:spacing w:before="0" w:beforeAutospacing="0" w:after="240" w:afterAutospacing="0"/>
        <w:ind w:left="720"/>
        <w:rPr>
          <w:rFonts w:ascii="Arial" w:hAnsi="Arial" w:cs="Arial"/>
        </w:rPr>
      </w:pPr>
    </w:p>
    <w:p w:rsidR="008F1DD5" w:rsidRPr="00A5194E" w:rsidRDefault="008F1DD5" w:rsidP="008F1DD5">
      <w:pPr>
        <w:pStyle w:val="ListParagraph"/>
        <w:spacing w:before="0" w:beforeAutospacing="0" w:after="240" w:afterAutospacing="0"/>
        <w:ind w:left="720"/>
        <w:rPr>
          <w:rFonts w:ascii="Arial" w:hAnsi="Arial" w:cs="Arial"/>
        </w:rPr>
      </w:pPr>
      <w:r>
        <w:rPr>
          <w:noProof/>
        </w:rPr>
        <w:drawing>
          <wp:anchor distT="0" distB="0" distL="114300" distR="114300" simplePos="0" relativeHeight="251660288" behindDoc="1" locked="0" layoutInCell="1" allowOverlap="1" wp14:anchorId="4E085054" wp14:editId="2FFE7976">
            <wp:simplePos x="0" y="0"/>
            <wp:positionH relativeFrom="column">
              <wp:posOffset>88900</wp:posOffset>
            </wp:positionH>
            <wp:positionV relativeFrom="paragraph">
              <wp:posOffset>281305</wp:posOffset>
            </wp:positionV>
            <wp:extent cx="5943600" cy="6642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c) </w:t>
      </w:r>
      <w:r w:rsidRPr="00A5194E">
        <w:rPr>
          <w:rFonts w:ascii="Arial" w:hAnsi="Arial" w:cs="Arial"/>
        </w:rPr>
        <w:t>Number of steel services by size of pipe.</w:t>
      </w: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Pr="00A5194E" w:rsidRDefault="008F1DD5" w:rsidP="008F1DD5">
      <w:pPr>
        <w:pStyle w:val="ListParagraph"/>
        <w:spacing w:before="0" w:beforeAutospacing="0" w:after="240" w:afterAutospacing="0"/>
        <w:ind w:left="720"/>
        <w:rPr>
          <w:rFonts w:ascii="Arial" w:hAnsi="Arial" w:cs="Arial"/>
        </w:rPr>
      </w:pPr>
      <w:r>
        <w:rPr>
          <w:noProof/>
        </w:rPr>
        <w:drawing>
          <wp:anchor distT="0" distB="0" distL="114300" distR="114300" simplePos="0" relativeHeight="251662336" behindDoc="1" locked="0" layoutInCell="1" allowOverlap="1" wp14:anchorId="508680A1" wp14:editId="53017562">
            <wp:simplePos x="0" y="0"/>
            <wp:positionH relativeFrom="column">
              <wp:posOffset>20955</wp:posOffset>
            </wp:positionH>
            <wp:positionV relativeFrom="paragraph">
              <wp:posOffset>256540</wp:posOffset>
            </wp:positionV>
            <wp:extent cx="5943600" cy="61150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43600" cy="611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d) </w:t>
      </w:r>
      <w:r w:rsidRPr="00A5194E">
        <w:rPr>
          <w:rFonts w:ascii="Arial" w:hAnsi="Arial" w:cs="Arial"/>
        </w:rPr>
        <w:t>Number of miles of plastic distribution mains by size of pipe.</w:t>
      </w: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keepNext/>
        <w:keepLines/>
        <w:spacing w:before="0" w:beforeAutospacing="0" w:after="0" w:afterAutospacing="0"/>
        <w:ind w:left="720"/>
        <w:rPr>
          <w:rFonts w:ascii="Arial" w:hAnsi="Arial" w:cs="Arial"/>
        </w:rPr>
      </w:pPr>
    </w:p>
    <w:p w:rsidR="008F1DD5" w:rsidRPr="00A5194E" w:rsidRDefault="008F1DD5" w:rsidP="008F1DD5">
      <w:pPr>
        <w:pStyle w:val="ListParagraph"/>
        <w:keepNext/>
        <w:keepLines/>
        <w:spacing w:before="0" w:beforeAutospacing="0" w:after="240" w:afterAutospacing="0"/>
        <w:ind w:left="720"/>
        <w:rPr>
          <w:rFonts w:ascii="Arial" w:hAnsi="Arial" w:cs="Arial"/>
        </w:rPr>
      </w:pPr>
      <w:r>
        <w:rPr>
          <w:rFonts w:ascii="Arial" w:hAnsi="Arial" w:cs="Arial"/>
        </w:rPr>
        <w:t xml:space="preserve">e) </w:t>
      </w:r>
      <w:r w:rsidRPr="00A5194E">
        <w:rPr>
          <w:rFonts w:ascii="Arial" w:hAnsi="Arial" w:cs="Arial"/>
        </w:rPr>
        <w:t>Number of miles of plastic services by size of pipe.</w:t>
      </w:r>
    </w:p>
    <w:p w:rsidR="008F1DD5" w:rsidRDefault="008F1DD5" w:rsidP="008F1DD5">
      <w:pPr>
        <w:pStyle w:val="ListParagraph"/>
        <w:keepNext/>
        <w:keepLines/>
        <w:spacing w:before="0" w:beforeAutospacing="0" w:after="240" w:afterAutospacing="0"/>
        <w:rPr>
          <w:rFonts w:ascii="Arial" w:hAnsi="Arial" w:cs="Arial"/>
        </w:rPr>
      </w:pPr>
      <w:r w:rsidRPr="00AC3125">
        <w:rPr>
          <w:noProof/>
        </w:rPr>
        <w:drawing>
          <wp:inline distT="0" distB="0" distL="0" distR="0" wp14:anchorId="7A0102B8" wp14:editId="13D2500C">
            <wp:extent cx="5921253" cy="739204"/>
            <wp:effectExtent l="19050" t="19050" r="2286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21253" cy="739204"/>
                    </a:xfrm>
                    <a:prstGeom prst="rect">
                      <a:avLst/>
                    </a:prstGeom>
                    <a:ln>
                      <a:solidFill>
                        <a:schemeClr val="tx1"/>
                      </a:solidFill>
                    </a:ln>
                  </pic:spPr>
                </pic:pic>
              </a:graphicData>
            </a:graphic>
          </wp:inline>
        </w:drawing>
      </w:r>
    </w:p>
    <w:p w:rsidR="008F1DD5" w:rsidRPr="00A5194E" w:rsidRDefault="008F1DD5" w:rsidP="008F1DD5">
      <w:pPr>
        <w:pStyle w:val="ListParagraph"/>
        <w:spacing w:before="120" w:beforeAutospacing="0" w:after="240" w:afterAutospacing="0"/>
        <w:ind w:left="720"/>
        <w:rPr>
          <w:rFonts w:ascii="Arial" w:hAnsi="Arial" w:cs="Arial"/>
        </w:rPr>
      </w:pPr>
      <w:r>
        <w:rPr>
          <w:noProof/>
        </w:rPr>
        <w:drawing>
          <wp:anchor distT="0" distB="0" distL="114300" distR="114300" simplePos="0" relativeHeight="251663360" behindDoc="1" locked="0" layoutInCell="1" allowOverlap="1" wp14:anchorId="065591F0" wp14:editId="1BCC52CC">
            <wp:simplePos x="0" y="0"/>
            <wp:positionH relativeFrom="column">
              <wp:posOffset>173355</wp:posOffset>
            </wp:positionH>
            <wp:positionV relativeFrom="paragraph">
              <wp:posOffset>202882</wp:posOffset>
            </wp:positionV>
            <wp:extent cx="5943600" cy="6477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f) </w:t>
      </w:r>
      <w:r w:rsidRPr="00A5194E">
        <w:rPr>
          <w:rFonts w:ascii="Arial" w:hAnsi="Arial" w:cs="Arial"/>
        </w:rPr>
        <w:t>Number of plastic services by size of pipe.</w:t>
      </w: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240" w:afterAutospacing="0"/>
        <w:rPr>
          <w:rFonts w:ascii="Arial" w:hAnsi="Arial" w:cs="Arial"/>
        </w:rPr>
      </w:pPr>
    </w:p>
    <w:p w:rsidR="008F1DD5" w:rsidRDefault="008F1DD5" w:rsidP="008F1DD5">
      <w:pPr>
        <w:pStyle w:val="ListParagraph"/>
        <w:spacing w:before="0" w:beforeAutospacing="0" w:after="0" w:afterAutospacing="0"/>
        <w:ind w:left="720"/>
        <w:rPr>
          <w:rFonts w:ascii="Arial" w:hAnsi="Arial" w:cs="Arial"/>
        </w:rPr>
      </w:pPr>
    </w:p>
    <w:p w:rsidR="008F1DD5" w:rsidRPr="00A5194E" w:rsidRDefault="008F1DD5" w:rsidP="008F1DD5">
      <w:pPr>
        <w:pStyle w:val="ListParagraph"/>
        <w:spacing w:before="0" w:beforeAutospacing="0" w:after="0" w:afterAutospacing="0"/>
        <w:ind w:left="720"/>
        <w:rPr>
          <w:rFonts w:ascii="Arial" w:hAnsi="Arial" w:cs="Arial"/>
        </w:rPr>
      </w:pPr>
      <w:r>
        <w:rPr>
          <w:rFonts w:ascii="Arial" w:hAnsi="Arial" w:cs="Arial"/>
        </w:rPr>
        <w:t xml:space="preserve">g) </w:t>
      </w:r>
      <w:r w:rsidRPr="00A5194E">
        <w:rPr>
          <w:rFonts w:ascii="Arial" w:hAnsi="Arial" w:cs="Arial"/>
        </w:rPr>
        <w:t>Number of miles of other distribution mains (e.g., cast iron) by size of pipe.</w:t>
      </w:r>
    </w:p>
    <w:p w:rsidR="008F1DD5" w:rsidRDefault="008F1DD5" w:rsidP="008F1DD5">
      <w:pPr>
        <w:pStyle w:val="ListParagraph"/>
        <w:spacing w:before="0" w:beforeAutospacing="0" w:after="120" w:afterAutospacing="0"/>
        <w:rPr>
          <w:rFonts w:ascii="Arial" w:hAnsi="Arial" w:cs="Arial"/>
        </w:rPr>
      </w:pPr>
      <w:r>
        <w:rPr>
          <w:rFonts w:ascii="Arial" w:hAnsi="Arial" w:cs="Arial"/>
        </w:rPr>
        <w:tab/>
      </w:r>
      <w:r>
        <w:rPr>
          <w:rFonts w:ascii="Arial" w:hAnsi="Arial" w:cs="Arial"/>
        </w:rPr>
        <w:tab/>
      </w:r>
      <w:r w:rsidRPr="003947A2">
        <w:rPr>
          <w:rFonts w:ascii="Arial" w:hAnsi="Arial" w:cs="Arial"/>
        </w:rPr>
        <w:t>None</w:t>
      </w:r>
    </w:p>
    <w:p w:rsidR="008F1DD5" w:rsidRDefault="008F1DD5" w:rsidP="008F1DD5">
      <w:pPr>
        <w:pStyle w:val="ListParagraph"/>
        <w:spacing w:before="0" w:beforeAutospacing="0" w:after="120" w:afterAutospacing="0"/>
        <w:ind w:left="720"/>
        <w:rPr>
          <w:rFonts w:ascii="Arial" w:hAnsi="Arial" w:cs="Arial"/>
        </w:rPr>
      </w:pPr>
      <w:r>
        <w:rPr>
          <w:rFonts w:ascii="Arial" w:hAnsi="Arial" w:cs="Arial"/>
        </w:rPr>
        <w:t xml:space="preserve">h) </w:t>
      </w:r>
      <w:r w:rsidRPr="00A5194E">
        <w:rPr>
          <w:rFonts w:ascii="Arial" w:hAnsi="Arial" w:cs="Arial"/>
        </w:rPr>
        <w:t>Number of miles of other services by size of pipe.</w:t>
      </w:r>
    </w:p>
    <w:p w:rsidR="008F1DD5" w:rsidRPr="00A5194E" w:rsidRDefault="008F1DD5" w:rsidP="008F1DD5">
      <w:pPr>
        <w:pStyle w:val="ListParagraph"/>
        <w:spacing w:before="0" w:beforeAutospacing="0" w:after="120" w:afterAutospacing="0"/>
        <w:ind w:left="720"/>
        <w:rPr>
          <w:rFonts w:ascii="Arial" w:hAnsi="Arial" w:cs="Arial"/>
        </w:rPr>
      </w:pPr>
      <w:r>
        <w:rPr>
          <w:rFonts w:ascii="Arial" w:hAnsi="Arial" w:cs="Arial"/>
        </w:rPr>
        <w:tab/>
        <w:t>None</w:t>
      </w:r>
    </w:p>
    <w:p w:rsidR="008F1DD5" w:rsidRDefault="008F1DD5" w:rsidP="008F1DD5">
      <w:pPr>
        <w:pStyle w:val="ListParagraph"/>
        <w:spacing w:before="0" w:beforeAutospacing="0" w:after="120" w:afterAutospacing="0"/>
        <w:ind w:left="720"/>
        <w:rPr>
          <w:rFonts w:ascii="Arial" w:hAnsi="Arial" w:cs="Arial"/>
        </w:rPr>
      </w:pPr>
      <w:r>
        <w:rPr>
          <w:rFonts w:ascii="Arial" w:hAnsi="Arial" w:cs="Arial"/>
        </w:rPr>
        <w:t xml:space="preserve">i) </w:t>
      </w:r>
      <w:r w:rsidRPr="00A5194E">
        <w:rPr>
          <w:rFonts w:ascii="Arial" w:hAnsi="Arial" w:cs="Arial"/>
        </w:rPr>
        <w:t>Number of other services by size of pipe.</w:t>
      </w:r>
    </w:p>
    <w:p w:rsidR="008F1DD5" w:rsidRPr="00A5194E" w:rsidRDefault="008F1DD5" w:rsidP="008F1DD5">
      <w:pPr>
        <w:pStyle w:val="ListParagraph"/>
        <w:spacing w:before="0" w:beforeAutospacing="0" w:after="120" w:afterAutospacing="0"/>
        <w:ind w:left="720"/>
        <w:rPr>
          <w:rFonts w:ascii="Arial" w:hAnsi="Arial" w:cs="Arial"/>
        </w:rPr>
      </w:pPr>
      <w:r>
        <w:rPr>
          <w:rFonts w:ascii="Arial" w:hAnsi="Arial" w:cs="Arial"/>
        </w:rPr>
        <w:tab/>
        <w:t>None</w:t>
      </w:r>
    </w:p>
    <w:p w:rsidR="008F1DD5" w:rsidRDefault="008F1DD5" w:rsidP="008F1DD5">
      <w:pPr>
        <w:pStyle w:val="ListParagraph"/>
        <w:spacing w:before="0" w:beforeAutospacing="0" w:after="240" w:afterAutospacing="0"/>
        <w:ind w:left="720"/>
        <w:rPr>
          <w:rFonts w:ascii="Arial" w:hAnsi="Arial" w:cs="Arial"/>
        </w:rPr>
      </w:pPr>
      <w:r w:rsidRPr="00181E44">
        <w:rPr>
          <w:noProof/>
        </w:rPr>
        <w:drawing>
          <wp:anchor distT="0" distB="0" distL="114300" distR="114300" simplePos="0" relativeHeight="251666432" behindDoc="1" locked="0" layoutInCell="1" allowOverlap="1" wp14:anchorId="08910ED7" wp14:editId="3FF30075">
            <wp:simplePos x="0" y="0"/>
            <wp:positionH relativeFrom="column">
              <wp:posOffset>1640596</wp:posOffset>
            </wp:positionH>
            <wp:positionV relativeFrom="paragraph">
              <wp:posOffset>567788</wp:posOffset>
            </wp:positionV>
            <wp:extent cx="3014133" cy="122689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7767" t="5845" r="5826"/>
                    <a:stretch/>
                  </pic:blipFill>
                  <pic:spPr bwMode="auto">
                    <a:xfrm>
                      <a:off x="0" y="0"/>
                      <a:ext cx="3014133" cy="1226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j) The number of </w:t>
      </w:r>
      <w:r w:rsidRPr="00A5194E">
        <w:rPr>
          <w:rFonts w:ascii="Arial" w:hAnsi="Arial" w:cs="Arial"/>
        </w:rPr>
        <w:t xml:space="preserve">miles of gas main, </w:t>
      </w:r>
      <w:r w:rsidRPr="001C5243">
        <w:rPr>
          <w:rFonts w:ascii="Arial" w:hAnsi="Arial" w:cs="Arial"/>
        </w:rPr>
        <w:t>divided into steel and plastic</w:t>
      </w:r>
      <w:r>
        <w:rPr>
          <w:rFonts w:ascii="Arial" w:hAnsi="Arial" w:cs="Arial"/>
        </w:rPr>
        <w:t xml:space="preserve"> and separated by</w:t>
      </w:r>
      <w:r w:rsidRPr="00A5194E">
        <w:rPr>
          <w:rFonts w:ascii="Arial" w:hAnsi="Arial" w:cs="Arial"/>
        </w:rPr>
        <w:t xml:space="preserve"> high pressure mains and medium pressure mains</w:t>
      </w:r>
      <w:r>
        <w:rPr>
          <w:rFonts w:ascii="Arial" w:hAnsi="Arial" w:cs="Arial"/>
        </w:rPr>
        <w:t xml:space="preserve"> are presented below:  (This data was derived from </w:t>
      </w:r>
      <w:r w:rsidR="00EF407B">
        <w:rPr>
          <w:rFonts w:ascii="Arial" w:hAnsi="Arial" w:cs="Arial"/>
        </w:rPr>
        <w:t>SDG&amp;E’</w:t>
      </w:r>
      <w:r>
        <w:rPr>
          <w:rFonts w:ascii="Arial" w:hAnsi="Arial" w:cs="Arial"/>
        </w:rPr>
        <w:t xml:space="preserve"> GIS Mapping database).</w:t>
      </w: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p>
    <w:p w:rsidR="008F1DD5" w:rsidRDefault="008F1DD5" w:rsidP="008F1DD5">
      <w:pPr>
        <w:pStyle w:val="ListParagraph"/>
        <w:spacing w:before="120" w:beforeAutospacing="0" w:after="120" w:afterAutospacing="0"/>
        <w:ind w:left="720"/>
        <w:rPr>
          <w:rFonts w:ascii="Arial" w:hAnsi="Arial" w:cs="Arial"/>
        </w:rPr>
      </w:pPr>
      <w:r>
        <w:rPr>
          <w:rFonts w:ascii="Arial" w:hAnsi="Arial" w:cs="Arial"/>
        </w:rPr>
        <w:lastRenderedPageBreak/>
        <w:t xml:space="preserve">k) </w:t>
      </w:r>
      <w:r w:rsidR="00B72428">
        <w:rPr>
          <w:rFonts w:ascii="Arial" w:hAnsi="Arial" w:cs="Arial"/>
        </w:rPr>
        <w:t xml:space="preserve">The relevant </w:t>
      </w:r>
      <w:r w:rsidR="00B72428" w:rsidRPr="00A5194E">
        <w:rPr>
          <w:rFonts w:ascii="Arial" w:hAnsi="Arial" w:cs="Arial"/>
        </w:rPr>
        <w:t>Handy-Whitman price escalators for gas mains</w:t>
      </w:r>
      <w:r w:rsidR="00B72428">
        <w:rPr>
          <w:rFonts w:ascii="Arial" w:hAnsi="Arial" w:cs="Arial"/>
        </w:rPr>
        <w:t xml:space="preserve"> are attached here.</w:t>
      </w:r>
    </w:p>
    <w:p w:rsidR="008F1DD5" w:rsidRDefault="008F1DD5" w:rsidP="008F1DD5">
      <w:pPr>
        <w:pStyle w:val="ListParagraph"/>
        <w:spacing w:before="0" w:beforeAutospacing="0" w:after="240" w:afterAutospacing="0"/>
        <w:ind w:left="720"/>
        <w:rPr>
          <w:rFonts w:ascii="Arial" w:hAnsi="Arial" w:cs="Arial"/>
        </w:rPr>
      </w:pPr>
      <w:r>
        <w:rPr>
          <w:rFonts w:ascii="Arial" w:hAnsi="Arial" w:cs="Arial"/>
        </w:rPr>
        <w:tab/>
      </w:r>
    </w:p>
    <w:p w:rsidR="008F1DD5" w:rsidRDefault="009040CF" w:rsidP="008F1DD5">
      <w:pPr>
        <w:pStyle w:val="ListParagraph"/>
        <w:spacing w:before="0" w:beforeAutospacing="0" w:after="0" w:afterAutospacing="0"/>
        <w:ind w:left="720"/>
        <w:jc w:val="center"/>
        <w:rPr>
          <w:rFonts w:ascii="Arial" w:hAnsi="Arial" w:cs="Arial"/>
        </w:rPr>
      </w:pPr>
      <w:r>
        <w:rPr>
          <w:rFonts w:ascii="Arial" w:hAnsi="Arial" w:cs="Arial"/>
        </w:rPr>
        <w:object w:dxaOrig="2520" w:dyaOrig="1600">
          <v:shape id="_x0000_i1042" type="#_x0000_t75" style="width:125.85pt;height:80.75pt" o:ole="">
            <v:imagedata r:id="rId52" o:title=""/>
          </v:shape>
          <o:OLEObject Type="Embed" ProgID="Acrobat.Document.11" ShapeID="_x0000_i1042" DrawAspect="Icon" ObjectID="_1519128197" r:id="rId53"/>
        </w:object>
      </w:r>
    </w:p>
    <w:p w:rsidR="008F1DD5" w:rsidRDefault="008F1DD5" w:rsidP="00213E5C">
      <w:pPr>
        <w:pStyle w:val="ListParagraph"/>
        <w:spacing w:before="0" w:beforeAutospacing="0" w:after="240" w:afterAutospacing="0"/>
        <w:ind w:left="720"/>
        <w:rPr>
          <w:rFonts w:ascii="Arial" w:hAnsi="Arial" w:cs="Arial"/>
        </w:rPr>
      </w:pPr>
      <w:r>
        <w:rPr>
          <w:rFonts w:ascii="Arial" w:hAnsi="Arial" w:cs="Arial"/>
        </w:rPr>
        <w:t xml:space="preserve">l) </w:t>
      </w:r>
      <w:r w:rsidRPr="009637B3">
        <w:rPr>
          <w:noProof/>
        </w:rPr>
        <w:drawing>
          <wp:anchor distT="0" distB="0" distL="114300" distR="114300" simplePos="0" relativeHeight="251665408" behindDoc="1" locked="0" layoutInCell="1" allowOverlap="1" wp14:anchorId="686564BD" wp14:editId="14D69781">
            <wp:simplePos x="0" y="0"/>
            <wp:positionH relativeFrom="column">
              <wp:posOffset>310515</wp:posOffset>
            </wp:positionH>
            <wp:positionV relativeFrom="paragraph">
              <wp:posOffset>462598</wp:posOffset>
            </wp:positionV>
            <wp:extent cx="5943600" cy="6604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66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The total number (all sizes) of miles of mains by decade is available, but totals by size and associated </w:t>
      </w:r>
      <w:r w:rsidRPr="009637B3">
        <w:rPr>
          <w:rFonts w:ascii="Arial" w:hAnsi="Arial" w:cs="Arial"/>
          <w:u w:val="single"/>
        </w:rPr>
        <w:t>costs</w:t>
      </w:r>
      <w:r>
        <w:rPr>
          <w:rFonts w:ascii="Arial" w:hAnsi="Arial" w:cs="Arial"/>
        </w:rPr>
        <w:t xml:space="preserve"> for these totals by decade are not available</w:t>
      </w:r>
      <w:r w:rsidR="00213E5C">
        <w:rPr>
          <w:rFonts w:ascii="Arial" w:hAnsi="Arial" w:cs="Arial"/>
        </w:rPr>
        <w:t xml:space="preserve">.  </w:t>
      </w:r>
    </w:p>
    <w:p w:rsidR="008F1DD5" w:rsidRDefault="008F1DD5" w:rsidP="008F1DD5">
      <w:pPr>
        <w:pStyle w:val="ListParagraph"/>
        <w:spacing w:before="0" w:beforeAutospacing="0" w:after="240" w:afterAutospacing="0"/>
        <w:ind w:left="720"/>
        <w:rPr>
          <w:rFonts w:ascii="Arial" w:hAnsi="Arial" w:cs="Arial"/>
        </w:rPr>
      </w:pPr>
    </w:p>
    <w:p w:rsidR="008F1DD5" w:rsidRDefault="008F1DD5" w:rsidP="008F1DD5">
      <w:pPr>
        <w:rPr>
          <w:rFonts w:ascii="Arial" w:hAnsi="Arial" w:cs="Arial"/>
          <w:b/>
          <w:u w:val="single"/>
        </w:rPr>
      </w:pPr>
      <w:r>
        <w:rPr>
          <w:rFonts w:ascii="Arial" w:hAnsi="Arial" w:cs="Arial"/>
          <w:b/>
          <w:u w:val="single"/>
        </w:rPr>
        <w:br w:type="page"/>
      </w:r>
    </w:p>
    <w:p w:rsidR="0031141C" w:rsidRDefault="0031141C" w:rsidP="00F759E8">
      <w:pPr>
        <w:rPr>
          <w:rFonts w:ascii="Arial" w:hAnsi="Arial" w:cs="Arial"/>
          <w:b/>
          <w:u w:val="single"/>
        </w:rPr>
      </w:pPr>
    </w:p>
    <w:p w:rsidR="0031141C" w:rsidRPr="008F1DD5" w:rsidRDefault="0031141C" w:rsidP="0031141C">
      <w:pPr>
        <w:rPr>
          <w:rFonts w:ascii="Arial" w:hAnsi="Arial" w:cs="Arial"/>
          <w:b/>
          <w:u w:val="single"/>
        </w:rPr>
      </w:pPr>
      <w:r w:rsidRPr="00B05282">
        <w:rPr>
          <w:rFonts w:ascii="Arial" w:hAnsi="Arial" w:cs="Arial"/>
          <w:b/>
          <w:u w:val="single"/>
        </w:rPr>
        <w:t>QUESTION 33:</w:t>
      </w:r>
    </w:p>
    <w:p w:rsidR="0031141C" w:rsidRPr="0031141C" w:rsidRDefault="0031141C" w:rsidP="0031141C">
      <w:pPr>
        <w:rPr>
          <w:rFonts w:ascii="Arial" w:hAnsi="Arial" w:cs="Arial"/>
        </w:rPr>
      </w:pPr>
    </w:p>
    <w:p w:rsidR="00BC332F" w:rsidRPr="00B05282" w:rsidRDefault="00BC332F" w:rsidP="00B05282">
      <w:pPr>
        <w:spacing w:after="240"/>
        <w:rPr>
          <w:rFonts w:ascii="Arial" w:hAnsi="Arial" w:cs="Arial"/>
        </w:rPr>
      </w:pPr>
      <w:r w:rsidRPr="00B05282">
        <w:rPr>
          <w:rFonts w:ascii="Arial" w:hAnsi="Arial" w:cs="Arial"/>
        </w:rPr>
        <w:t>Please provide the following information on main and service replacement for SDG&amp;E:</w:t>
      </w:r>
    </w:p>
    <w:p w:rsidR="00BC332F" w:rsidRPr="00A5194E" w:rsidRDefault="00BC332F" w:rsidP="000F55F5">
      <w:pPr>
        <w:pStyle w:val="ListParagraph"/>
        <w:numPr>
          <w:ilvl w:val="1"/>
          <w:numId w:val="20"/>
        </w:numPr>
        <w:spacing w:before="0" w:beforeAutospacing="0" w:after="240" w:afterAutospacing="0"/>
        <w:rPr>
          <w:rFonts w:ascii="Arial" w:hAnsi="Arial" w:cs="Arial"/>
        </w:rPr>
      </w:pPr>
      <w:r w:rsidRPr="00A5194E">
        <w:rPr>
          <w:rFonts w:ascii="Arial" w:hAnsi="Arial" w:cs="Arial"/>
        </w:rPr>
        <w:t xml:space="preserve">Number of miles of gas distribution mains that have been replaced in each year from 2010-2014, that have been replaced in 2015 through the latest available month, and that are projected to be replaced in each year from 2015 to the end of the TY 2016 GRC </w:t>
      </w:r>
      <w:r w:rsidR="00C20CFB">
        <w:rPr>
          <w:rFonts w:ascii="Arial" w:hAnsi="Arial" w:cs="Arial"/>
        </w:rPr>
        <w:t>cycle.  Divide by size of pipe a</w:t>
      </w:r>
      <w:r w:rsidRPr="00A5194E">
        <w:rPr>
          <w:rFonts w:ascii="Arial" w:hAnsi="Arial" w:cs="Arial"/>
        </w:rPr>
        <w:t>nd pipe material to the extent that data are available.</w:t>
      </w:r>
    </w:p>
    <w:p w:rsidR="00BC332F" w:rsidRPr="00A5194E" w:rsidRDefault="00BC332F" w:rsidP="000F55F5">
      <w:pPr>
        <w:pStyle w:val="ListParagraph"/>
        <w:numPr>
          <w:ilvl w:val="1"/>
          <w:numId w:val="20"/>
        </w:numPr>
        <w:spacing w:before="0" w:beforeAutospacing="0" w:after="240" w:afterAutospacing="0"/>
        <w:rPr>
          <w:rFonts w:ascii="Arial" w:hAnsi="Arial" w:cs="Arial"/>
        </w:rPr>
      </w:pPr>
      <w:r w:rsidRPr="00A5194E">
        <w:rPr>
          <w:rFonts w:ascii="Arial" w:hAnsi="Arial" w:cs="Arial"/>
        </w:rPr>
        <w:t>Total cost of main replacement in each year from 2010-2017, divided into O&amp;M and capital using recorded and projected data from above.</w:t>
      </w:r>
    </w:p>
    <w:p w:rsidR="00BC332F" w:rsidRPr="00A5194E" w:rsidRDefault="00BC332F" w:rsidP="000F55F5">
      <w:pPr>
        <w:pStyle w:val="ListParagraph"/>
        <w:numPr>
          <w:ilvl w:val="1"/>
          <w:numId w:val="20"/>
        </w:numPr>
        <w:spacing w:before="0" w:beforeAutospacing="0" w:after="240" w:afterAutospacing="0"/>
        <w:rPr>
          <w:rFonts w:ascii="Arial" w:hAnsi="Arial" w:cs="Arial"/>
        </w:rPr>
      </w:pPr>
      <w:r w:rsidRPr="00A5194E">
        <w:rPr>
          <w:rFonts w:ascii="Arial" w:hAnsi="Arial" w:cs="Arial"/>
        </w:rPr>
        <w:t>Number (or number of miles) of gas services that have been replaced in each year from 2006-2014, that have been replaced in 2015 through the latest available month, and that are projected to be replaced in each year from 2015 to the end of the TY 2016 GRC cycle.  Divide by size of pipe and pipe material to the extent that data are available.</w:t>
      </w:r>
    </w:p>
    <w:p w:rsidR="00BC332F" w:rsidRPr="00A5194E" w:rsidRDefault="00BC332F" w:rsidP="000F55F5">
      <w:pPr>
        <w:pStyle w:val="ListParagraph"/>
        <w:numPr>
          <w:ilvl w:val="1"/>
          <w:numId w:val="20"/>
        </w:numPr>
        <w:spacing w:before="0" w:beforeAutospacing="0" w:after="240" w:afterAutospacing="0"/>
        <w:rPr>
          <w:rFonts w:ascii="Arial" w:hAnsi="Arial" w:cs="Arial"/>
        </w:rPr>
      </w:pPr>
      <w:r w:rsidRPr="00A5194E">
        <w:rPr>
          <w:rFonts w:ascii="Arial" w:hAnsi="Arial" w:cs="Arial"/>
        </w:rPr>
        <w:t>Total cost of service replacement in each year from 2010-2017, divided into O&amp;M and capital using recorded and projected data from above.</w:t>
      </w:r>
    </w:p>
    <w:p w:rsidR="0031141C" w:rsidRPr="00F759E8" w:rsidRDefault="0031141C" w:rsidP="0031141C">
      <w:pPr>
        <w:rPr>
          <w:rFonts w:ascii="Arial" w:hAnsi="Arial" w:cs="Arial"/>
          <w:b/>
          <w:u w:val="single"/>
        </w:rPr>
      </w:pPr>
      <w:r w:rsidRPr="00F759E8">
        <w:rPr>
          <w:rFonts w:ascii="Arial" w:hAnsi="Arial" w:cs="Arial"/>
          <w:b/>
          <w:u w:val="single"/>
        </w:rPr>
        <w:t xml:space="preserve">RESPONSE </w:t>
      </w:r>
      <w:r>
        <w:rPr>
          <w:rFonts w:ascii="Arial" w:hAnsi="Arial" w:cs="Arial"/>
          <w:b/>
          <w:u w:val="single"/>
        </w:rPr>
        <w:t>33</w:t>
      </w:r>
      <w:r w:rsidRPr="00F759E8">
        <w:rPr>
          <w:rFonts w:ascii="Arial" w:hAnsi="Arial" w:cs="Arial"/>
          <w:b/>
          <w:u w:val="single"/>
        </w:rPr>
        <w:t>:</w:t>
      </w:r>
    </w:p>
    <w:p w:rsidR="008F1DD5" w:rsidRPr="00C20CFB" w:rsidRDefault="008F1DD5" w:rsidP="000F55F5">
      <w:pPr>
        <w:pStyle w:val="ListParagraph"/>
        <w:numPr>
          <w:ilvl w:val="0"/>
          <w:numId w:val="7"/>
        </w:numPr>
        <w:rPr>
          <w:rFonts w:ascii="Arial" w:hAnsi="Arial" w:cs="Arial"/>
        </w:rPr>
      </w:pPr>
      <w:r w:rsidRPr="00C20CFB">
        <w:rPr>
          <w:rFonts w:ascii="Arial" w:hAnsi="Arial" w:cs="Arial"/>
        </w:rPr>
        <w:t xml:space="preserve">The number of feet of replaced mains by size and material for the years 2010 to 2014 is presented in Table 1 below.  Mapping for the year 2015 is still being completed and therefore totals for 2015 could not be presented in a complete listing. Lengths of replacement main are not projected for future years separately or in this format </w:t>
      </w:r>
      <w:r w:rsidR="00C45605">
        <w:rPr>
          <w:rFonts w:ascii="Arial" w:hAnsi="Arial" w:cs="Arial"/>
        </w:rPr>
        <w:t xml:space="preserve">and </w:t>
      </w:r>
      <w:r w:rsidRPr="00C20CFB">
        <w:rPr>
          <w:rFonts w:ascii="Arial" w:hAnsi="Arial" w:cs="Arial"/>
        </w:rPr>
        <w:t>therefore are not available.</w:t>
      </w:r>
      <w:r w:rsidR="00C20CFB">
        <w:rPr>
          <w:rFonts w:ascii="Arial" w:hAnsi="Arial" w:cs="Arial"/>
        </w:rPr>
        <w:t xml:space="preserve"> </w:t>
      </w:r>
    </w:p>
    <w:p w:rsidR="008F1DD5" w:rsidRDefault="008F1DD5" w:rsidP="008F1DD5">
      <w:pPr>
        <w:rPr>
          <w:rFonts w:ascii="Arial" w:hAnsi="Arial" w:cs="Arial"/>
          <w:sz w:val="28"/>
          <w:szCs w:val="28"/>
        </w:rPr>
      </w:pPr>
      <w:r w:rsidRPr="006E18B7">
        <w:rPr>
          <w:noProof/>
        </w:rPr>
        <w:drawing>
          <wp:anchor distT="0" distB="0" distL="114300" distR="114300" simplePos="0" relativeHeight="251668480" behindDoc="1" locked="0" layoutInCell="1" allowOverlap="1" wp14:anchorId="7826C807" wp14:editId="02D4BE0A">
            <wp:simplePos x="0" y="0"/>
            <wp:positionH relativeFrom="column">
              <wp:posOffset>1067337</wp:posOffset>
            </wp:positionH>
            <wp:positionV relativeFrom="paragraph">
              <wp:posOffset>120601</wp:posOffset>
            </wp:positionV>
            <wp:extent cx="3903345" cy="2435225"/>
            <wp:effectExtent l="0" t="0" r="190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903345" cy="24352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Table 1</w:t>
      </w: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Pr="00B05282" w:rsidRDefault="008F1DD5" w:rsidP="000F55F5">
      <w:pPr>
        <w:pStyle w:val="ListParagraph"/>
        <w:numPr>
          <w:ilvl w:val="0"/>
          <w:numId w:val="7"/>
        </w:numPr>
        <w:rPr>
          <w:rFonts w:ascii="Arial" w:hAnsi="Arial" w:cs="Arial"/>
          <w:sz w:val="28"/>
          <w:szCs w:val="28"/>
        </w:rPr>
      </w:pPr>
      <w:r w:rsidRPr="00B05282">
        <w:rPr>
          <w:rFonts w:ascii="Arial" w:hAnsi="Arial" w:cs="Arial"/>
        </w:rPr>
        <w:lastRenderedPageBreak/>
        <w:t>The main replacement expense</w:t>
      </w:r>
      <w:r w:rsidR="00C20CFB" w:rsidRPr="00B05282">
        <w:rPr>
          <w:rFonts w:ascii="Arial" w:hAnsi="Arial" w:cs="Arial"/>
        </w:rPr>
        <w:t>s</w:t>
      </w:r>
      <w:r w:rsidRPr="00B05282">
        <w:rPr>
          <w:rFonts w:ascii="Arial" w:hAnsi="Arial" w:cs="Arial"/>
        </w:rPr>
        <w:t xml:space="preserve"> </w:t>
      </w:r>
      <w:r w:rsidR="00C20CFB" w:rsidRPr="00B05282">
        <w:rPr>
          <w:rFonts w:ascii="Arial" w:hAnsi="Arial" w:cs="Arial"/>
        </w:rPr>
        <w:t>are</w:t>
      </w:r>
      <w:r w:rsidRPr="00B05282">
        <w:rPr>
          <w:rFonts w:ascii="Arial" w:hAnsi="Arial" w:cs="Arial"/>
        </w:rPr>
        <w:t xml:space="preserve"> collected together with other main maintenance expenses</w:t>
      </w:r>
      <w:r w:rsidR="00C20CFB" w:rsidRPr="00B05282">
        <w:rPr>
          <w:rFonts w:ascii="Arial" w:hAnsi="Arial" w:cs="Arial"/>
        </w:rPr>
        <w:t>,</w:t>
      </w:r>
      <w:r w:rsidRPr="00B05282">
        <w:rPr>
          <w:rFonts w:ascii="Arial" w:hAnsi="Arial" w:cs="Arial"/>
        </w:rPr>
        <w:t xml:space="preserve"> such as</w:t>
      </w:r>
      <w:r w:rsidR="00C20CFB" w:rsidRPr="00B05282">
        <w:rPr>
          <w:rFonts w:ascii="Arial" w:hAnsi="Arial" w:cs="Arial"/>
        </w:rPr>
        <w:t>,</w:t>
      </w:r>
      <w:r w:rsidRPr="00B05282">
        <w:rPr>
          <w:rFonts w:ascii="Arial" w:hAnsi="Arial" w:cs="Arial"/>
        </w:rPr>
        <w:t xml:space="preserve"> main repairs</w:t>
      </w:r>
      <w:r w:rsidR="00C20CFB" w:rsidRPr="00B05282">
        <w:rPr>
          <w:rFonts w:ascii="Arial" w:hAnsi="Arial" w:cs="Arial"/>
        </w:rPr>
        <w:t>,</w:t>
      </w:r>
      <w:r w:rsidRPr="00B05282">
        <w:rPr>
          <w:rFonts w:ascii="Arial" w:hAnsi="Arial" w:cs="Arial"/>
        </w:rPr>
        <w:t xml:space="preserve"> and are found in various O&amp;M and Capital accounts. In addition, these expenses are not separated by pipeline size or material. Because of the manner in which these expenses are accounted for, replacement expenses alone separated by size and material cannot be accurately determined.  In addition, replacement main costs are not projected for future years separately or in this format </w:t>
      </w:r>
      <w:r w:rsidR="00C45605">
        <w:rPr>
          <w:rFonts w:ascii="Arial" w:hAnsi="Arial" w:cs="Arial"/>
        </w:rPr>
        <w:t xml:space="preserve">and are </w:t>
      </w:r>
      <w:r w:rsidRPr="00B05282">
        <w:rPr>
          <w:rFonts w:ascii="Arial" w:hAnsi="Arial" w:cs="Arial"/>
        </w:rPr>
        <w:t>therefore also not available.</w:t>
      </w:r>
    </w:p>
    <w:p w:rsidR="00B05282" w:rsidRPr="00B05282" w:rsidRDefault="00B05282" w:rsidP="00B05282">
      <w:pPr>
        <w:ind w:left="360"/>
        <w:rPr>
          <w:rFonts w:ascii="Arial" w:hAnsi="Arial" w:cs="Arial"/>
          <w:sz w:val="28"/>
          <w:szCs w:val="28"/>
        </w:rPr>
      </w:pPr>
    </w:p>
    <w:p w:rsidR="008F1DD5" w:rsidRPr="00C20CFB" w:rsidRDefault="008F1DD5" w:rsidP="000F55F5">
      <w:pPr>
        <w:pStyle w:val="ListParagraph"/>
        <w:numPr>
          <w:ilvl w:val="0"/>
          <w:numId w:val="7"/>
        </w:numPr>
        <w:rPr>
          <w:rFonts w:ascii="Arial" w:hAnsi="Arial" w:cs="Arial"/>
        </w:rPr>
      </w:pPr>
      <w:r w:rsidRPr="00C20CFB">
        <w:rPr>
          <w:rFonts w:ascii="Arial" w:hAnsi="Arial" w:cs="Arial"/>
        </w:rPr>
        <w:t xml:space="preserve">The number of feet of replaced gas services by size and material for the years 2010 to 2014 is presented in Table 2 below. The lengths of services prior to 2010 cannot be accurately presented </w:t>
      </w:r>
      <w:r w:rsidR="00C45605">
        <w:rPr>
          <w:rFonts w:ascii="Arial" w:hAnsi="Arial" w:cs="Arial"/>
        </w:rPr>
        <w:t>because</w:t>
      </w:r>
      <w:r w:rsidRPr="00C20CFB">
        <w:rPr>
          <w:rFonts w:ascii="Arial" w:hAnsi="Arial" w:cs="Arial"/>
        </w:rPr>
        <w:t xml:space="preserve"> it was prior to </w:t>
      </w:r>
      <w:r w:rsidR="00C20CFB">
        <w:rPr>
          <w:rFonts w:ascii="Arial" w:hAnsi="Arial" w:cs="Arial"/>
        </w:rPr>
        <w:t>SDG&amp;E’s</w:t>
      </w:r>
      <w:r w:rsidRPr="00C20CFB">
        <w:rPr>
          <w:rFonts w:ascii="Arial" w:hAnsi="Arial" w:cs="Arial"/>
        </w:rPr>
        <w:t xml:space="preserve"> implementing </w:t>
      </w:r>
      <w:r w:rsidR="00C45605">
        <w:rPr>
          <w:rFonts w:ascii="Arial" w:hAnsi="Arial" w:cs="Arial"/>
        </w:rPr>
        <w:t>its</w:t>
      </w:r>
      <w:r w:rsidRPr="00C20CFB">
        <w:rPr>
          <w:rFonts w:ascii="Arial" w:hAnsi="Arial" w:cs="Arial"/>
        </w:rPr>
        <w:t xml:space="preserve"> GIS mapping system.  Gas pipeline mapping for the year 2015 is still being completed</w:t>
      </w:r>
      <w:r w:rsidR="00C45605">
        <w:rPr>
          <w:rFonts w:ascii="Arial" w:hAnsi="Arial" w:cs="Arial"/>
        </w:rPr>
        <w:t>,</w:t>
      </w:r>
      <w:r w:rsidRPr="00C20CFB">
        <w:rPr>
          <w:rFonts w:ascii="Arial" w:hAnsi="Arial" w:cs="Arial"/>
        </w:rPr>
        <w:t xml:space="preserve"> and therefore totals for 2015 could not be presented in a complete listing. Replacement service lengths are not projected for future years separately or in this format</w:t>
      </w:r>
      <w:r w:rsidR="00C45605">
        <w:rPr>
          <w:rFonts w:ascii="Arial" w:hAnsi="Arial" w:cs="Arial"/>
        </w:rPr>
        <w:t xml:space="preserve"> and </w:t>
      </w:r>
      <w:proofErr w:type="gramStart"/>
      <w:r w:rsidR="00C45605">
        <w:rPr>
          <w:rFonts w:ascii="Arial" w:hAnsi="Arial" w:cs="Arial"/>
        </w:rPr>
        <w:t xml:space="preserve">are </w:t>
      </w:r>
      <w:r w:rsidRPr="00C20CFB">
        <w:rPr>
          <w:rFonts w:ascii="Arial" w:hAnsi="Arial" w:cs="Arial"/>
        </w:rPr>
        <w:t xml:space="preserve"> therefore</w:t>
      </w:r>
      <w:proofErr w:type="gramEnd"/>
      <w:r w:rsidRPr="00C20CFB">
        <w:rPr>
          <w:rFonts w:ascii="Arial" w:hAnsi="Arial" w:cs="Arial"/>
        </w:rPr>
        <w:t xml:space="preserve"> not available.</w:t>
      </w:r>
    </w:p>
    <w:p w:rsidR="008F1DD5" w:rsidRDefault="008F1DD5" w:rsidP="008F1DD5">
      <w:pPr>
        <w:rPr>
          <w:rFonts w:ascii="Arial" w:hAnsi="Arial" w:cs="Arial"/>
          <w:sz w:val="28"/>
          <w:szCs w:val="28"/>
        </w:rPr>
      </w:pPr>
    </w:p>
    <w:p w:rsidR="008F1DD5" w:rsidRPr="001C2707"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r w:rsidRPr="006E18B7">
        <w:rPr>
          <w:noProof/>
        </w:rPr>
        <w:drawing>
          <wp:anchor distT="0" distB="0" distL="114300" distR="114300" simplePos="0" relativeHeight="251669504" behindDoc="1" locked="0" layoutInCell="1" allowOverlap="1" wp14:anchorId="368B4519" wp14:editId="17E6A428">
            <wp:simplePos x="0" y="0"/>
            <wp:positionH relativeFrom="column">
              <wp:posOffset>920750</wp:posOffset>
            </wp:positionH>
            <wp:positionV relativeFrom="paragraph">
              <wp:posOffset>70485</wp:posOffset>
            </wp:positionV>
            <wp:extent cx="4290060" cy="2209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290060"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Table 2</w:t>
      </w: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Default="008F1DD5" w:rsidP="008F1DD5">
      <w:pPr>
        <w:rPr>
          <w:rFonts w:ascii="Arial" w:hAnsi="Arial" w:cs="Arial"/>
          <w:sz w:val="28"/>
          <w:szCs w:val="28"/>
        </w:rPr>
      </w:pPr>
    </w:p>
    <w:p w:rsidR="008F1DD5" w:rsidRPr="004D7990" w:rsidRDefault="008F1DD5" w:rsidP="008F1DD5">
      <w:pPr>
        <w:keepNext/>
        <w:keepLines/>
        <w:rPr>
          <w:rFonts w:ascii="Arial" w:hAnsi="Arial" w:cs="Arial"/>
        </w:rPr>
      </w:pPr>
      <w:r w:rsidRPr="00B05282">
        <w:rPr>
          <w:rFonts w:ascii="Arial" w:hAnsi="Arial" w:cs="Arial"/>
        </w:rPr>
        <w:lastRenderedPageBreak/>
        <w:t>d)  The service replacement expense</w:t>
      </w:r>
      <w:r w:rsidR="004D7990" w:rsidRPr="00B05282">
        <w:rPr>
          <w:rFonts w:ascii="Arial" w:hAnsi="Arial" w:cs="Arial"/>
        </w:rPr>
        <w:t>s are</w:t>
      </w:r>
      <w:r w:rsidRPr="00B05282">
        <w:rPr>
          <w:rFonts w:ascii="Arial" w:hAnsi="Arial" w:cs="Arial"/>
        </w:rPr>
        <w:t xml:space="preserve"> collected together with other service maintenance</w:t>
      </w:r>
      <w:r w:rsidRPr="004D7990">
        <w:rPr>
          <w:rFonts w:ascii="Arial" w:hAnsi="Arial" w:cs="Arial"/>
        </w:rPr>
        <w:t xml:space="preserve"> expenses</w:t>
      </w:r>
      <w:r w:rsidR="004D7990">
        <w:rPr>
          <w:rFonts w:ascii="Arial" w:hAnsi="Arial" w:cs="Arial"/>
        </w:rPr>
        <w:t>,</w:t>
      </w:r>
      <w:r w:rsidRPr="004D7990">
        <w:rPr>
          <w:rFonts w:ascii="Arial" w:hAnsi="Arial" w:cs="Arial"/>
        </w:rPr>
        <w:t xml:space="preserve"> such as service repairs</w:t>
      </w:r>
      <w:r w:rsidR="004D7990">
        <w:rPr>
          <w:rFonts w:ascii="Arial" w:hAnsi="Arial" w:cs="Arial"/>
        </w:rPr>
        <w:t>,</w:t>
      </w:r>
      <w:r w:rsidRPr="004D7990">
        <w:rPr>
          <w:rFonts w:ascii="Arial" w:hAnsi="Arial" w:cs="Arial"/>
        </w:rPr>
        <w:t xml:space="preserve"> and are found in various O&amp;M and Capital accounts. In addition, these expenses are not separated by pipeline size or material. Because of the manner in which these expenses are accounted for, replacement expenses alone separated by size and material cannot be accurately determined.  In addition, replacement service costs are not projected for future years separately or in this format</w:t>
      </w:r>
      <w:r w:rsidR="004D7990">
        <w:rPr>
          <w:rFonts w:ascii="Arial" w:hAnsi="Arial" w:cs="Arial"/>
        </w:rPr>
        <w:t>;</w:t>
      </w:r>
      <w:r w:rsidRPr="004D7990">
        <w:rPr>
          <w:rFonts w:ascii="Arial" w:hAnsi="Arial" w:cs="Arial"/>
        </w:rPr>
        <w:t xml:space="preserve"> therefore</w:t>
      </w:r>
      <w:r w:rsidR="004D7990">
        <w:rPr>
          <w:rFonts w:ascii="Arial" w:hAnsi="Arial" w:cs="Arial"/>
        </w:rPr>
        <w:t>,</w:t>
      </w:r>
      <w:r w:rsidRPr="004D7990">
        <w:rPr>
          <w:rFonts w:ascii="Arial" w:hAnsi="Arial" w:cs="Arial"/>
        </w:rPr>
        <w:t xml:space="preserve"> they are also not available.</w:t>
      </w:r>
    </w:p>
    <w:p w:rsidR="00B05282" w:rsidRDefault="00B05282">
      <w:pPr>
        <w:rPr>
          <w:rFonts w:ascii="Arial" w:hAnsi="Arial" w:cs="Arial"/>
          <w:sz w:val="28"/>
          <w:szCs w:val="28"/>
        </w:rPr>
      </w:pPr>
      <w:r>
        <w:rPr>
          <w:rFonts w:ascii="Arial" w:hAnsi="Arial" w:cs="Arial"/>
          <w:sz w:val="28"/>
          <w:szCs w:val="28"/>
        </w:rPr>
        <w:br w:type="page"/>
      </w:r>
    </w:p>
    <w:p w:rsidR="008F1DD5" w:rsidRDefault="008F1DD5" w:rsidP="008F1DD5">
      <w:pPr>
        <w:keepNext/>
        <w:keepLines/>
        <w:rPr>
          <w:rFonts w:ascii="Arial" w:hAnsi="Arial" w:cs="Arial"/>
          <w:sz w:val="28"/>
          <w:szCs w:val="28"/>
        </w:rPr>
      </w:pPr>
    </w:p>
    <w:p w:rsidR="00B05282" w:rsidRDefault="00B05282" w:rsidP="008F1DD5">
      <w:pPr>
        <w:keepNext/>
        <w:keepLines/>
        <w:rPr>
          <w:rFonts w:ascii="Arial" w:hAnsi="Arial" w:cs="Arial"/>
          <w:sz w:val="28"/>
          <w:szCs w:val="28"/>
        </w:rPr>
      </w:pPr>
    </w:p>
    <w:p w:rsidR="0031141C" w:rsidRPr="008F1DD5" w:rsidRDefault="0031141C" w:rsidP="0031141C">
      <w:pPr>
        <w:rPr>
          <w:rFonts w:ascii="Arial" w:hAnsi="Arial" w:cs="Arial"/>
          <w:b/>
          <w:u w:val="single"/>
        </w:rPr>
      </w:pPr>
      <w:r w:rsidRPr="00B05282">
        <w:rPr>
          <w:rFonts w:ascii="Arial" w:hAnsi="Arial" w:cs="Arial"/>
          <w:b/>
          <w:u w:val="single"/>
        </w:rPr>
        <w:t>QUESTION 34:</w:t>
      </w:r>
    </w:p>
    <w:p w:rsidR="0031141C" w:rsidRPr="0031141C" w:rsidRDefault="0031141C" w:rsidP="0031141C">
      <w:pPr>
        <w:rPr>
          <w:rFonts w:ascii="Arial" w:hAnsi="Arial" w:cs="Arial"/>
        </w:rPr>
      </w:pPr>
    </w:p>
    <w:p w:rsidR="00BC332F" w:rsidRPr="00B05282" w:rsidRDefault="00BC332F" w:rsidP="00B05282">
      <w:pPr>
        <w:spacing w:after="240"/>
        <w:rPr>
          <w:rFonts w:ascii="Arial" w:hAnsi="Arial" w:cs="Arial"/>
        </w:rPr>
      </w:pPr>
      <w:r w:rsidRPr="00B05282">
        <w:rPr>
          <w:rFonts w:ascii="Arial" w:hAnsi="Arial" w:cs="Arial"/>
        </w:rPr>
        <w:t>Please provide the following information on cathodic protection for SDG&amp;E:</w:t>
      </w:r>
    </w:p>
    <w:p w:rsidR="00BC332F" w:rsidRPr="00A5194E" w:rsidRDefault="00BC332F" w:rsidP="000F55F5">
      <w:pPr>
        <w:pStyle w:val="ListParagraph"/>
        <w:numPr>
          <w:ilvl w:val="1"/>
          <w:numId w:val="21"/>
        </w:numPr>
        <w:spacing w:before="0" w:beforeAutospacing="0" w:after="240" w:afterAutospacing="0"/>
        <w:rPr>
          <w:rFonts w:ascii="Arial" w:hAnsi="Arial" w:cs="Arial"/>
        </w:rPr>
      </w:pPr>
      <w:r w:rsidRPr="00A5194E">
        <w:rPr>
          <w:rFonts w:ascii="Arial" w:hAnsi="Arial" w:cs="Arial"/>
        </w:rPr>
        <w:t>Identify costs of cathodic protection separately from other costs in Accounts 874 and 887.</w:t>
      </w:r>
    </w:p>
    <w:p w:rsidR="0031141C" w:rsidRPr="0031141C" w:rsidRDefault="00BC332F" w:rsidP="000F55F5">
      <w:pPr>
        <w:numPr>
          <w:ilvl w:val="1"/>
          <w:numId w:val="21"/>
        </w:numPr>
        <w:rPr>
          <w:rFonts w:ascii="Arial" w:hAnsi="Arial" w:cs="Arial"/>
        </w:rPr>
      </w:pPr>
      <w:r w:rsidRPr="00A5194E">
        <w:rPr>
          <w:rFonts w:ascii="Arial" w:hAnsi="Arial" w:cs="Arial"/>
        </w:rPr>
        <w:t>Identify the number of miles of mains and services under cathodic protection at the end of 2014.  To the extent possible divide the estimate between mains and services, between high pressure and low-pressure mains, and by the size of pipe.</w:t>
      </w:r>
    </w:p>
    <w:p w:rsidR="0031141C" w:rsidRDefault="0031141C" w:rsidP="0031141C">
      <w:pPr>
        <w:rPr>
          <w:rFonts w:ascii="Arial" w:hAnsi="Arial" w:cs="Arial"/>
          <w:b/>
          <w:u w:val="single"/>
        </w:rPr>
      </w:pPr>
    </w:p>
    <w:p w:rsidR="0031141C" w:rsidRPr="00F759E8" w:rsidRDefault="0031141C" w:rsidP="0031141C">
      <w:pPr>
        <w:rPr>
          <w:rFonts w:ascii="Arial" w:hAnsi="Arial" w:cs="Arial"/>
          <w:b/>
          <w:u w:val="single"/>
        </w:rPr>
      </w:pPr>
      <w:r w:rsidRPr="00F759E8">
        <w:rPr>
          <w:rFonts w:ascii="Arial" w:hAnsi="Arial" w:cs="Arial"/>
          <w:b/>
          <w:u w:val="single"/>
        </w:rPr>
        <w:t xml:space="preserve">RESPONSE </w:t>
      </w:r>
      <w:r>
        <w:rPr>
          <w:rFonts w:ascii="Arial" w:hAnsi="Arial" w:cs="Arial"/>
          <w:b/>
          <w:u w:val="single"/>
        </w:rPr>
        <w:t>34</w:t>
      </w:r>
      <w:r w:rsidRPr="00F759E8">
        <w:rPr>
          <w:rFonts w:ascii="Arial" w:hAnsi="Arial" w:cs="Arial"/>
          <w:b/>
          <w:u w:val="single"/>
        </w:rPr>
        <w:t>:</w:t>
      </w:r>
    </w:p>
    <w:p w:rsidR="0031141C" w:rsidRDefault="0031141C" w:rsidP="0031141C">
      <w:pPr>
        <w:rPr>
          <w:rFonts w:ascii="Arial" w:hAnsi="Arial" w:cs="Arial"/>
          <w:sz w:val="28"/>
          <w:szCs w:val="28"/>
        </w:rPr>
      </w:pPr>
    </w:p>
    <w:p w:rsidR="008F1DD5" w:rsidRPr="00897CB1" w:rsidRDefault="008F1DD5" w:rsidP="00027D42">
      <w:pPr>
        <w:pStyle w:val="ListParagraph"/>
        <w:spacing w:before="0" w:beforeAutospacing="0" w:after="240" w:afterAutospacing="0"/>
        <w:ind w:left="720"/>
        <w:rPr>
          <w:rFonts w:ascii="Arial" w:hAnsi="Arial" w:cs="Arial"/>
        </w:rPr>
      </w:pPr>
      <w:r>
        <w:rPr>
          <w:rFonts w:ascii="Arial" w:hAnsi="Arial" w:cs="Arial"/>
        </w:rPr>
        <w:t>a) Total costs for cathodic protection separate from all other costs for the year of 2014 was $1,148,000. That</w:t>
      </w:r>
      <w:r w:rsidR="00027D42">
        <w:rPr>
          <w:rFonts w:ascii="Arial" w:hAnsi="Arial" w:cs="Arial"/>
        </w:rPr>
        <w:t xml:space="preserve"> represents</w:t>
      </w:r>
      <w:r>
        <w:rPr>
          <w:rFonts w:ascii="Arial" w:hAnsi="Arial" w:cs="Arial"/>
        </w:rPr>
        <w:t xml:space="preserve"> direct labor and non-labor charges. </w:t>
      </w:r>
    </w:p>
    <w:p w:rsidR="008F1DD5" w:rsidRPr="0031141C" w:rsidRDefault="008F1DD5" w:rsidP="008F1DD5">
      <w:pPr>
        <w:pStyle w:val="ListParagraph"/>
        <w:spacing w:before="0" w:beforeAutospacing="0" w:after="240" w:afterAutospacing="0"/>
        <w:ind w:left="720"/>
        <w:rPr>
          <w:rFonts w:ascii="Arial" w:hAnsi="Arial" w:cs="Arial"/>
        </w:rPr>
      </w:pPr>
      <w:r>
        <w:rPr>
          <w:rFonts w:ascii="Arial" w:hAnsi="Arial" w:cs="Arial"/>
        </w:rPr>
        <w:t>b) T</w:t>
      </w:r>
      <w:r w:rsidRPr="00A5194E">
        <w:rPr>
          <w:rFonts w:ascii="Arial" w:hAnsi="Arial" w:cs="Arial"/>
        </w:rPr>
        <w:t>he number of miles of mains and services under cathodic protection at the end of 2014</w:t>
      </w:r>
      <w:r w:rsidR="00C45605">
        <w:rPr>
          <w:rFonts w:ascii="Arial" w:hAnsi="Arial" w:cs="Arial"/>
        </w:rPr>
        <w:t xml:space="preserve"> is</w:t>
      </w:r>
      <w:r>
        <w:rPr>
          <w:rFonts w:ascii="Arial" w:hAnsi="Arial" w:cs="Arial"/>
        </w:rPr>
        <w:t xml:space="preserve"> presented below</w:t>
      </w:r>
      <w:r w:rsidRPr="00A5194E">
        <w:rPr>
          <w:rFonts w:ascii="Arial" w:hAnsi="Arial" w:cs="Arial"/>
        </w:rPr>
        <w:t xml:space="preserve">.  </w:t>
      </w:r>
      <w:r>
        <w:rPr>
          <w:rFonts w:ascii="Arial" w:hAnsi="Arial" w:cs="Arial"/>
        </w:rPr>
        <w:t xml:space="preserve">The division by total number of miles of pipe </w:t>
      </w:r>
      <w:r w:rsidRPr="00A5194E">
        <w:rPr>
          <w:rFonts w:ascii="Arial" w:hAnsi="Arial" w:cs="Arial"/>
        </w:rPr>
        <w:t xml:space="preserve">between high pressure and </w:t>
      </w:r>
      <w:r>
        <w:rPr>
          <w:rFonts w:ascii="Arial" w:hAnsi="Arial" w:cs="Arial"/>
        </w:rPr>
        <w:t>medium</w:t>
      </w:r>
      <w:r w:rsidRPr="00A5194E">
        <w:rPr>
          <w:rFonts w:ascii="Arial" w:hAnsi="Arial" w:cs="Arial"/>
        </w:rPr>
        <w:t>-pressure mains</w:t>
      </w:r>
      <w:r>
        <w:rPr>
          <w:rFonts w:ascii="Arial" w:hAnsi="Arial" w:cs="Arial"/>
        </w:rPr>
        <w:t xml:space="preserve"> is presented in the response for Question 32(j) in the first line of that Table (for steel pipe).</w:t>
      </w:r>
    </w:p>
    <w:p w:rsidR="008F1DD5" w:rsidRDefault="008F1DD5" w:rsidP="008F1DD5">
      <w:pPr>
        <w:rPr>
          <w:rFonts w:ascii="Arial" w:hAnsi="Arial" w:cs="Arial"/>
          <w:b/>
          <w:u w:val="single"/>
        </w:rPr>
      </w:pPr>
      <w:r w:rsidRPr="00986225">
        <w:rPr>
          <w:noProof/>
        </w:rPr>
        <w:drawing>
          <wp:anchor distT="0" distB="0" distL="114300" distR="114300" simplePos="0" relativeHeight="251671552" behindDoc="1" locked="0" layoutInCell="1" allowOverlap="1" wp14:anchorId="385A9F74" wp14:editId="07A3E609">
            <wp:simplePos x="0" y="0"/>
            <wp:positionH relativeFrom="column">
              <wp:posOffset>682625</wp:posOffset>
            </wp:positionH>
            <wp:positionV relativeFrom="paragraph">
              <wp:posOffset>173829</wp:posOffset>
            </wp:positionV>
            <wp:extent cx="5013960" cy="845820"/>
            <wp:effectExtent l="19050" t="19050" r="1524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013960" cy="845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F1DD5" w:rsidRDefault="008F1DD5" w:rsidP="008F1DD5">
      <w:pPr>
        <w:rPr>
          <w:rFonts w:ascii="Arial" w:hAnsi="Arial" w:cs="Arial"/>
          <w:b/>
          <w:u w:val="single"/>
        </w:rPr>
      </w:pPr>
    </w:p>
    <w:p w:rsidR="008F1DD5" w:rsidRDefault="008F1DD5" w:rsidP="008F1DD5">
      <w:pPr>
        <w:rPr>
          <w:rFonts w:ascii="Arial" w:hAnsi="Arial" w:cs="Arial"/>
          <w:b/>
          <w:u w:val="single"/>
        </w:rPr>
      </w:pPr>
    </w:p>
    <w:p w:rsidR="008F1DD5" w:rsidRDefault="008F1DD5" w:rsidP="008F1DD5">
      <w:pPr>
        <w:rPr>
          <w:rFonts w:ascii="Arial" w:hAnsi="Arial" w:cs="Arial"/>
          <w:b/>
          <w:u w:val="single"/>
        </w:rPr>
      </w:pPr>
    </w:p>
    <w:p w:rsidR="008F1DD5" w:rsidRDefault="008F1DD5" w:rsidP="008F1DD5">
      <w:pPr>
        <w:rPr>
          <w:rFonts w:ascii="Arial" w:hAnsi="Arial" w:cs="Arial"/>
          <w:b/>
          <w:u w:val="single"/>
        </w:rPr>
      </w:pPr>
    </w:p>
    <w:p w:rsidR="008F1DD5" w:rsidRDefault="008F1DD5" w:rsidP="008F1DD5">
      <w:pPr>
        <w:rPr>
          <w:rFonts w:ascii="Arial" w:hAnsi="Arial" w:cs="Arial"/>
          <w:b/>
          <w:u w:val="single"/>
        </w:rPr>
      </w:pPr>
    </w:p>
    <w:p w:rsidR="008F1DD5" w:rsidRDefault="008F1DD5" w:rsidP="008F1DD5">
      <w:pPr>
        <w:rPr>
          <w:rFonts w:ascii="Arial" w:hAnsi="Arial" w:cs="Arial"/>
          <w:b/>
          <w:u w:val="single"/>
        </w:rPr>
      </w:pPr>
      <w:r w:rsidRPr="00CD3278">
        <w:rPr>
          <w:noProof/>
        </w:rPr>
        <w:drawing>
          <wp:anchor distT="0" distB="0" distL="114300" distR="114300" simplePos="0" relativeHeight="251672576" behindDoc="1" locked="0" layoutInCell="1" allowOverlap="1" wp14:anchorId="35BC8E4F" wp14:editId="1DAC3887">
            <wp:simplePos x="0" y="0"/>
            <wp:positionH relativeFrom="column">
              <wp:posOffset>682625</wp:posOffset>
            </wp:positionH>
            <wp:positionV relativeFrom="paragraph">
              <wp:posOffset>149860</wp:posOffset>
            </wp:positionV>
            <wp:extent cx="5013960" cy="845820"/>
            <wp:effectExtent l="19050" t="19050" r="15240"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013960" cy="845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05282" w:rsidRDefault="00B05282">
      <w:pPr>
        <w:rPr>
          <w:rFonts w:ascii="Arial" w:hAnsi="Arial" w:cs="Arial"/>
          <w:b/>
          <w:u w:val="single"/>
        </w:rPr>
      </w:pPr>
      <w:r>
        <w:rPr>
          <w:rFonts w:ascii="Arial" w:hAnsi="Arial" w:cs="Arial"/>
          <w:b/>
          <w:u w:val="single"/>
        </w:rPr>
        <w:br w:type="page"/>
      </w:r>
    </w:p>
    <w:p w:rsidR="008F1DD5" w:rsidRDefault="008F1DD5" w:rsidP="008F1DD5">
      <w:pPr>
        <w:rPr>
          <w:rFonts w:ascii="Arial" w:hAnsi="Arial" w:cs="Arial"/>
          <w:b/>
          <w:u w:val="single"/>
        </w:rPr>
      </w:pPr>
    </w:p>
    <w:p w:rsidR="008F1DD5" w:rsidRDefault="008F1DD5" w:rsidP="008F1DD5">
      <w:pPr>
        <w:rPr>
          <w:rFonts w:ascii="Arial" w:hAnsi="Arial" w:cs="Arial"/>
          <w:b/>
          <w:u w:val="single"/>
        </w:rPr>
      </w:pPr>
    </w:p>
    <w:p w:rsidR="0031141C" w:rsidRPr="008F1DD5" w:rsidRDefault="0031141C" w:rsidP="0031141C">
      <w:pPr>
        <w:rPr>
          <w:rFonts w:ascii="Arial" w:hAnsi="Arial" w:cs="Arial"/>
          <w:b/>
          <w:u w:val="single"/>
        </w:rPr>
      </w:pPr>
      <w:r w:rsidRPr="00B05282">
        <w:rPr>
          <w:rFonts w:ascii="Arial" w:hAnsi="Arial" w:cs="Arial"/>
          <w:b/>
          <w:u w:val="single"/>
        </w:rPr>
        <w:t>QUESTION 35:</w:t>
      </w:r>
    </w:p>
    <w:p w:rsidR="0031141C" w:rsidRPr="0031141C" w:rsidRDefault="0031141C" w:rsidP="0031141C">
      <w:pPr>
        <w:rPr>
          <w:rFonts w:ascii="Arial" w:hAnsi="Arial" w:cs="Arial"/>
        </w:rPr>
      </w:pPr>
    </w:p>
    <w:p w:rsidR="00BC332F" w:rsidRPr="00A5194E" w:rsidRDefault="00BC332F" w:rsidP="00BC332F">
      <w:pPr>
        <w:pStyle w:val="ListParagraph"/>
        <w:spacing w:before="0" w:beforeAutospacing="0" w:after="240" w:afterAutospacing="0"/>
        <w:rPr>
          <w:rFonts w:ascii="Arial" w:hAnsi="Arial" w:cs="Arial"/>
        </w:rPr>
      </w:pPr>
      <w:r w:rsidRPr="00A5194E">
        <w:rPr>
          <w:rFonts w:ascii="Arial" w:hAnsi="Arial" w:cs="Arial"/>
        </w:rPr>
        <w:t>Please identify the total number of gas meters replaced by SDG&amp;E in each year from 2006 to 2015, the number of meters required to be replaced in order to install AMI, and the number of other meters replaced.</w:t>
      </w:r>
    </w:p>
    <w:p w:rsidR="0031141C" w:rsidRPr="0031141C" w:rsidRDefault="0031141C" w:rsidP="0031141C">
      <w:pPr>
        <w:rPr>
          <w:rFonts w:ascii="Arial" w:hAnsi="Arial" w:cs="Arial"/>
        </w:rPr>
      </w:pPr>
    </w:p>
    <w:p w:rsidR="0031141C" w:rsidRPr="00F759E8" w:rsidRDefault="0031141C" w:rsidP="0031141C">
      <w:pPr>
        <w:rPr>
          <w:rFonts w:ascii="Arial" w:hAnsi="Arial" w:cs="Arial"/>
          <w:b/>
          <w:u w:val="single"/>
        </w:rPr>
      </w:pPr>
      <w:r w:rsidRPr="00F759E8">
        <w:rPr>
          <w:rFonts w:ascii="Arial" w:hAnsi="Arial" w:cs="Arial"/>
          <w:b/>
          <w:u w:val="single"/>
        </w:rPr>
        <w:t xml:space="preserve">RESPONSE </w:t>
      </w:r>
      <w:r>
        <w:rPr>
          <w:rFonts w:ascii="Arial" w:hAnsi="Arial" w:cs="Arial"/>
          <w:b/>
          <w:u w:val="single"/>
        </w:rPr>
        <w:t>35</w:t>
      </w:r>
      <w:r w:rsidRPr="00F759E8">
        <w:rPr>
          <w:rFonts w:ascii="Arial" w:hAnsi="Arial" w:cs="Arial"/>
          <w:b/>
          <w:u w:val="single"/>
        </w:rPr>
        <w:t>:</w:t>
      </w:r>
    </w:p>
    <w:p w:rsidR="0031141C" w:rsidRDefault="0031141C" w:rsidP="00F759E8">
      <w:pPr>
        <w:rPr>
          <w:rFonts w:ascii="Arial" w:hAnsi="Arial" w:cs="Arial"/>
          <w:b/>
          <w:u w:val="single"/>
        </w:rPr>
      </w:pPr>
    </w:p>
    <w:p w:rsidR="008F1DD5" w:rsidRPr="00165812" w:rsidRDefault="008F1DD5" w:rsidP="008F1DD5">
      <w:pPr>
        <w:rPr>
          <w:rFonts w:ascii="Arial" w:hAnsi="Arial" w:cs="Arial"/>
        </w:rPr>
      </w:pPr>
      <w:r w:rsidRPr="00165812">
        <w:rPr>
          <w:rFonts w:ascii="Arial" w:hAnsi="Arial" w:cs="Arial"/>
        </w:rPr>
        <w:t>The gas meters replaced in each year from 2006 to 2015</w:t>
      </w:r>
      <w:r>
        <w:rPr>
          <w:rFonts w:ascii="Arial" w:hAnsi="Arial" w:cs="Arial"/>
        </w:rPr>
        <w:t>,</w:t>
      </w:r>
      <w:r w:rsidRPr="00165812">
        <w:rPr>
          <w:rFonts w:ascii="Arial" w:hAnsi="Arial" w:cs="Arial"/>
        </w:rPr>
        <w:t xml:space="preserve"> separated by </w:t>
      </w:r>
      <w:r>
        <w:rPr>
          <w:rFonts w:ascii="Arial" w:hAnsi="Arial" w:cs="Arial"/>
        </w:rPr>
        <w:t xml:space="preserve">meter </w:t>
      </w:r>
      <w:r w:rsidRPr="00165812">
        <w:rPr>
          <w:rFonts w:ascii="Arial" w:hAnsi="Arial" w:cs="Arial"/>
        </w:rPr>
        <w:t>replacement</w:t>
      </w:r>
      <w:r>
        <w:rPr>
          <w:rFonts w:ascii="Arial" w:hAnsi="Arial" w:cs="Arial"/>
        </w:rPr>
        <w:t>s</w:t>
      </w:r>
      <w:r w:rsidRPr="00165812">
        <w:rPr>
          <w:rFonts w:ascii="Arial" w:hAnsi="Arial" w:cs="Arial"/>
        </w:rPr>
        <w:t xml:space="preserve"> </w:t>
      </w:r>
      <w:r>
        <w:rPr>
          <w:rFonts w:ascii="Arial" w:hAnsi="Arial" w:cs="Arial"/>
        </w:rPr>
        <w:t>to accommodate an</w:t>
      </w:r>
      <w:r w:rsidRPr="00165812">
        <w:rPr>
          <w:rFonts w:ascii="Arial" w:hAnsi="Arial" w:cs="Arial"/>
        </w:rPr>
        <w:t xml:space="preserve"> AMI installation and all other replacements are presented here:</w:t>
      </w:r>
    </w:p>
    <w:p w:rsidR="008F1DD5" w:rsidRDefault="008F1DD5" w:rsidP="008F1DD5">
      <w:r w:rsidRPr="00165812">
        <w:rPr>
          <w:noProof/>
        </w:rPr>
        <w:drawing>
          <wp:anchor distT="0" distB="0" distL="114300" distR="114300" simplePos="0" relativeHeight="251674624" behindDoc="0" locked="0" layoutInCell="1" allowOverlap="1" wp14:anchorId="730165FC" wp14:editId="17B277AD">
            <wp:simplePos x="0" y="0"/>
            <wp:positionH relativeFrom="column">
              <wp:posOffset>1084580</wp:posOffset>
            </wp:positionH>
            <wp:positionV relativeFrom="paragraph">
              <wp:posOffset>140970</wp:posOffset>
            </wp:positionV>
            <wp:extent cx="4041140" cy="28365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041140" cy="2836545"/>
                    </a:xfrm>
                    <a:prstGeom prst="rect">
                      <a:avLst/>
                    </a:prstGeom>
                  </pic:spPr>
                </pic:pic>
              </a:graphicData>
            </a:graphic>
            <wp14:sizeRelH relativeFrom="page">
              <wp14:pctWidth>0</wp14:pctWidth>
            </wp14:sizeRelH>
            <wp14:sizeRelV relativeFrom="page">
              <wp14:pctHeight>0</wp14:pctHeight>
            </wp14:sizeRelV>
          </wp:anchor>
        </w:drawing>
      </w:r>
    </w:p>
    <w:p w:rsidR="008F1DD5" w:rsidRPr="00165812" w:rsidRDefault="008F1DD5" w:rsidP="008F1DD5"/>
    <w:p w:rsidR="00B05282" w:rsidRDefault="00B05282" w:rsidP="0031141C">
      <w:pPr>
        <w:rPr>
          <w:rFonts w:ascii="Arial" w:hAnsi="Arial" w:cs="Arial"/>
          <w:b/>
          <w:u w:val="single"/>
        </w:rPr>
      </w:pPr>
    </w:p>
    <w:p w:rsidR="00B05282" w:rsidRDefault="00B05282">
      <w:pPr>
        <w:rPr>
          <w:rFonts w:ascii="Arial" w:hAnsi="Arial" w:cs="Arial"/>
          <w:b/>
          <w:u w:val="single"/>
        </w:rPr>
      </w:pPr>
      <w:r>
        <w:rPr>
          <w:rFonts w:ascii="Arial" w:hAnsi="Arial" w:cs="Arial"/>
          <w:b/>
          <w:u w:val="single"/>
        </w:rPr>
        <w:br w:type="page"/>
      </w:r>
    </w:p>
    <w:p w:rsidR="00B05282" w:rsidRDefault="00B05282" w:rsidP="0031141C">
      <w:pPr>
        <w:rPr>
          <w:rFonts w:ascii="Arial" w:hAnsi="Arial" w:cs="Arial"/>
          <w:b/>
          <w:u w:val="single"/>
        </w:rPr>
      </w:pPr>
    </w:p>
    <w:p w:rsidR="00B05282" w:rsidRDefault="00B05282" w:rsidP="0031141C">
      <w:pPr>
        <w:rPr>
          <w:rFonts w:ascii="Arial" w:hAnsi="Arial" w:cs="Arial"/>
          <w:b/>
          <w:u w:val="single"/>
        </w:rPr>
      </w:pPr>
    </w:p>
    <w:p w:rsidR="0031141C" w:rsidRPr="008F1DD5" w:rsidRDefault="0031141C" w:rsidP="0031141C">
      <w:pPr>
        <w:rPr>
          <w:rFonts w:ascii="Arial" w:hAnsi="Arial" w:cs="Arial"/>
          <w:b/>
          <w:u w:val="single"/>
        </w:rPr>
      </w:pPr>
      <w:r w:rsidRPr="00B05282">
        <w:rPr>
          <w:rFonts w:ascii="Arial" w:hAnsi="Arial" w:cs="Arial"/>
          <w:b/>
          <w:u w:val="single"/>
        </w:rPr>
        <w:t>QUESTION 36:</w:t>
      </w:r>
    </w:p>
    <w:p w:rsidR="0031141C" w:rsidRDefault="0031141C" w:rsidP="0031141C">
      <w:pPr>
        <w:rPr>
          <w:rFonts w:ascii="Arial" w:hAnsi="Arial" w:cs="Arial"/>
        </w:rPr>
      </w:pPr>
    </w:p>
    <w:p w:rsidR="00BC332F" w:rsidRPr="00B05282" w:rsidRDefault="00BC332F" w:rsidP="00B05282">
      <w:pPr>
        <w:spacing w:after="240"/>
        <w:rPr>
          <w:rFonts w:ascii="Arial" w:hAnsi="Arial" w:cs="Arial"/>
        </w:rPr>
      </w:pPr>
      <w:r w:rsidRPr="00B05282">
        <w:rPr>
          <w:rFonts w:ascii="Arial" w:hAnsi="Arial" w:cs="Arial"/>
        </w:rPr>
        <w:t>Please respond to the following questions related to SDG&amp;E’s treatment of A&amp;G and general plant loading factors for marginal cost:</w:t>
      </w:r>
    </w:p>
    <w:p w:rsidR="00BC332F" w:rsidRPr="00A5194E" w:rsidRDefault="00BC332F" w:rsidP="000F55F5">
      <w:pPr>
        <w:pStyle w:val="ListParagraph"/>
        <w:numPr>
          <w:ilvl w:val="1"/>
          <w:numId w:val="22"/>
        </w:numPr>
        <w:spacing w:before="0" w:beforeAutospacing="0" w:after="240" w:afterAutospacing="0"/>
        <w:rPr>
          <w:rFonts w:ascii="Arial" w:hAnsi="Arial" w:cs="Arial"/>
        </w:rPr>
      </w:pPr>
      <w:r w:rsidRPr="00A5194E">
        <w:rPr>
          <w:rFonts w:ascii="Arial" w:hAnsi="Arial" w:cs="Arial"/>
        </w:rPr>
        <w:t>In the calculations that assume all Employee Pensions and Benefits are Marginal Costs, did SDG&amp;E inadvertently include pensions and benefits from non-marginal A&amp;G labor costs in Account 920 and other A&amp;G accounts as marginal costs?  If so, please estimate non-marginal labor in A&amp;G accounts as a percentage of total labor for SDG&amp;E.</w:t>
      </w:r>
    </w:p>
    <w:p w:rsidR="00BC332F" w:rsidRPr="00A5194E" w:rsidRDefault="00BC332F" w:rsidP="000F55F5">
      <w:pPr>
        <w:pStyle w:val="ListParagraph"/>
        <w:numPr>
          <w:ilvl w:val="1"/>
          <w:numId w:val="22"/>
        </w:numPr>
        <w:spacing w:before="0" w:beforeAutospacing="0" w:after="240" w:afterAutospacing="0"/>
        <w:rPr>
          <w:rFonts w:ascii="Arial" w:hAnsi="Arial" w:cs="Arial"/>
        </w:rPr>
      </w:pPr>
      <w:r w:rsidRPr="00A5194E">
        <w:rPr>
          <w:rFonts w:ascii="Arial" w:hAnsi="Arial" w:cs="Arial"/>
        </w:rPr>
        <w:t>In calculating the tax that funds EE, LIEE, CARE and other gas public goods programs, does SDG&amp;E include pensions, benefits, workers compensation, and other specific labor-related overhead costs for its employees in these programs in that calculation?  If not why not?  If so, please provide that figure consistent with the 2013 recorded figures used in this marginal cost filing.</w:t>
      </w:r>
    </w:p>
    <w:p w:rsidR="00BC332F" w:rsidRPr="00A5194E" w:rsidRDefault="00BC332F" w:rsidP="000F55F5">
      <w:pPr>
        <w:pStyle w:val="ListParagraph"/>
        <w:numPr>
          <w:ilvl w:val="1"/>
          <w:numId w:val="22"/>
        </w:numPr>
        <w:spacing w:before="0" w:beforeAutospacing="0" w:after="240" w:afterAutospacing="0"/>
        <w:rPr>
          <w:rFonts w:ascii="Arial" w:hAnsi="Arial" w:cs="Arial"/>
        </w:rPr>
      </w:pPr>
      <w:r w:rsidRPr="00A5194E">
        <w:rPr>
          <w:rFonts w:ascii="Arial" w:hAnsi="Arial" w:cs="Arial"/>
        </w:rPr>
        <w:t>If SDG&amp;E includes pensions, benefits, workers compensation, and other specific labor-related overhead costs for its employees working under programs funded by the state public goods tax, did SDG&amp;E remove costs included in that tax from its A&amp;G loader analysis in this marginal cost study?  If not, (a) explain why not; and (b) recalculate the A&amp;G loader analysis excluding the labor-related overhead costs recovered in the tax.</w:t>
      </w:r>
    </w:p>
    <w:p w:rsidR="00BC332F" w:rsidRPr="00A5194E" w:rsidRDefault="00BC332F" w:rsidP="000F55F5">
      <w:pPr>
        <w:pStyle w:val="ListParagraph"/>
        <w:numPr>
          <w:ilvl w:val="1"/>
          <w:numId w:val="22"/>
        </w:numPr>
        <w:spacing w:before="0" w:beforeAutospacing="0" w:after="240" w:afterAutospacing="0"/>
        <w:rPr>
          <w:rFonts w:ascii="Arial" w:hAnsi="Arial" w:cs="Arial"/>
        </w:rPr>
      </w:pPr>
      <w:r w:rsidRPr="00A5194E">
        <w:rPr>
          <w:rFonts w:ascii="Arial" w:hAnsi="Arial" w:cs="Arial"/>
        </w:rPr>
        <w:t xml:space="preserve">If SDG&amp;E does not include labor-related overheads for employees working in public goods programs funded by the state public goods tax in the costs recovered by the state public goods tax, please answer the following questions. </w:t>
      </w:r>
    </w:p>
    <w:p w:rsidR="00BC332F" w:rsidRPr="00A5194E" w:rsidRDefault="00BC332F" w:rsidP="000F55F5">
      <w:pPr>
        <w:pStyle w:val="ListParagraph"/>
        <w:numPr>
          <w:ilvl w:val="2"/>
          <w:numId w:val="22"/>
        </w:numPr>
        <w:spacing w:before="0" w:beforeAutospacing="0" w:after="240" w:afterAutospacing="0"/>
        <w:rPr>
          <w:rFonts w:ascii="Arial" w:hAnsi="Arial" w:cs="Arial"/>
        </w:rPr>
      </w:pPr>
      <w:r w:rsidRPr="00A5194E">
        <w:rPr>
          <w:rFonts w:ascii="Arial" w:hAnsi="Arial" w:cs="Arial"/>
        </w:rPr>
        <w:t>Please provide labor expenses associated with (a) energy efficiency (b) Low Income Energy Efficiency, and (c) the CARE program.</w:t>
      </w:r>
    </w:p>
    <w:p w:rsidR="00BC332F" w:rsidRPr="00A5194E" w:rsidRDefault="00BC332F" w:rsidP="000F55F5">
      <w:pPr>
        <w:pStyle w:val="ListParagraph"/>
        <w:numPr>
          <w:ilvl w:val="2"/>
          <w:numId w:val="22"/>
        </w:numPr>
        <w:spacing w:before="0" w:beforeAutospacing="0" w:after="240" w:afterAutospacing="0"/>
        <w:rPr>
          <w:rFonts w:ascii="Arial" w:hAnsi="Arial" w:cs="Arial"/>
        </w:rPr>
      </w:pPr>
      <w:r w:rsidRPr="00A5194E">
        <w:rPr>
          <w:rFonts w:ascii="Arial" w:hAnsi="Arial" w:cs="Arial"/>
        </w:rPr>
        <w:t>Please explain why pensions, benefits, and workers compensation expenses for public goods workers should not be considered non-marginal costs in the LRMC study, given that these costs are not affected by changes in labor associated with costs of transmission, storage, distribution, and customer functions.</w:t>
      </w:r>
    </w:p>
    <w:p w:rsidR="000F55F5" w:rsidRDefault="000F55F5">
      <w:pPr>
        <w:rPr>
          <w:rFonts w:ascii="Arial" w:hAnsi="Arial" w:cs="Arial"/>
        </w:rPr>
      </w:pPr>
      <w:r>
        <w:rPr>
          <w:rFonts w:ascii="Arial" w:hAnsi="Arial" w:cs="Arial"/>
        </w:rPr>
        <w:br w:type="page"/>
      </w:r>
    </w:p>
    <w:p w:rsidR="0031141C" w:rsidRPr="0031141C" w:rsidRDefault="0031141C" w:rsidP="0031141C">
      <w:pPr>
        <w:rPr>
          <w:rFonts w:ascii="Arial" w:hAnsi="Arial" w:cs="Arial"/>
        </w:rPr>
      </w:pPr>
    </w:p>
    <w:p w:rsidR="00964695" w:rsidRPr="008F1DD5" w:rsidRDefault="0031141C" w:rsidP="008F1DD5">
      <w:pPr>
        <w:rPr>
          <w:rFonts w:ascii="Arial" w:hAnsi="Arial" w:cs="Arial"/>
          <w:b/>
          <w:u w:val="single"/>
        </w:rPr>
      </w:pPr>
      <w:r w:rsidRPr="00F759E8">
        <w:rPr>
          <w:rFonts w:ascii="Arial" w:hAnsi="Arial" w:cs="Arial"/>
          <w:b/>
          <w:u w:val="single"/>
        </w:rPr>
        <w:t xml:space="preserve">RESPONSE </w:t>
      </w:r>
      <w:r>
        <w:rPr>
          <w:rFonts w:ascii="Arial" w:hAnsi="Arial" w:cs="Arial"/>
          <w:b/>
          <w:u w:val="single"/>
        </w:rPr>
        <w:t>36</w:t>
      </w:r>
      <w:r w:rsidRPr="00F759E8">
        <w:rPr>
          <w:rFonts w:ascii="Arial" w:hAnsi="Arial" w:cs="Arial"/>
          <w:b/>
          <w:u w:val="single"/>
        </w:rPr>
        <w:t>:</w:t>
      </w:r>
    </w:p>
    <w:tbl>
      <w:tblPr>
        <w:tblW w:w="4732" w:type="dxa"/>
        <w:tblInd w:w="108" w:type="dxa"/>
        <w:tblLook w:val="04A0" w:firstRow="1" w:lastRow="0" w:firstColumn="1" w:lastColumn="0" w:noHBand="0" w:noVBand="1"/>
      </w:tblPr>
      <w:tblGrid>
        <w:gridCol w:w="1136"/>
        <w:gridCol w:w="3596"/>
      </w:tblGrid>
      <w:tr w:rsidR="00964695" w:rsidTr="00964695">
        <w:trPr>
          <w:trHeight w:val="225"/>
        </w:trPr>
        <w:tc>
          <w:tcPr>
            <w:tcW w:w="1136" w:type="dxa"/>
            <w:tcBorders>
              <w:top w:val="nil"/>
              <w:left w:val="nil"/>
              <w:bottom w:val="nil"/>
              <w:right w:val="nil"/>
            </w:tcBorders>
            <w:shd w:val="clear" w:color="auto" w:fill="auto"/>
            <w:noWrap/>
            <w:vAlign w:val="bottom"/>
          </w:tcPr>
          <w:p w:rsidR="00964695" w:rsidRDefault="00964695">
            <w:pPr>
              <w:jc w:val="center"/>
              <w:rPr>
                <w:rFonts w:ascii="Arial" w:hAnsi="Arial" w:cs="Arial"/>
                <w:sz w:val="16"/>
                <w:szCs w:val="16"/>
              </w:rPr>
            </w:pPr>
          </w:p>
        </w:tc>
        <w:tc>
          <w:tcPr>
            <w:tcW w:w="3596" w:type="dxa"/>
            <w:tcBorders>
              <w:top w:val="nil"/>
              <w:left w:val="nil"/>
              <w:bottom w:val="nil"/>
              <w:right w:val="nil"/>
            </w:tcBorders>
            <w:shd w:val="clear" w:color="auto" w:fill="auto"/>
            <w:noWrap/>
            <w:vAlign w:val="bottom"/>
          </w:tcPr>
          <w:p w:rsidR="00964695" w:rsidRDefault="00964695">
            <w:pPr>
              <w:rPr>
                <w:rFonts w:ascii="Arial" w:hAnsi="Arial" w:cs="Arial"/>
                <w:sz w:val="16"/>
                <w:szCs w:val="16"/>
              </w:rPr>
            </w:pPr>
          </w:p>
        </w:tc>
      </w:tr>
    </w:tbl>
    <w:p w:rsidR="000F55F5" w:rsidRPr="00E56F64" w:rsidRDefault="000F55F5" w:rsidP="000F55F5">
      <w:pPr>
        <w:pStyle w:val="ListParagraph"/>
        <w:numPr>
          <w:ilvl w:val="2"/>
          <w:numId w:val="23"/>
        </w:numPr>
        <w:rPr>
          <w:rFonts w:ascii="Arial" w:hAnsi="Arial" w:cs="Arial"/>
        </w:rPr>
      </w:pPr>
      <w:r w:rsidRPr="00E56F64">
        <w:rPr>
          <w:rFonts w:ascii="Arial" w:hAnsi="Arial" w:cs="Arial"/>
        </w:rPr>
        <w:t xml:space="preserve">No.  </w:t>
      </w:r>
    </w:p>
    <w:p w:rsidR="000F55F5" w:rsidRPr="000C6287" w:rsidRDefault="000F55F5" w:rsidP="000F55F5">
      <w:pPr>
        <w:pStyle w:val="ListParagraph"/>
        <w:numPr>
          <w:ilvl w:val="2"/>
          <w:numId w:val="23"/>
        </w:numPr>
        <w:rPr>
          <w:rFonts w:ascii="Arial" w:hAnsi="Arial" w:cs="Arial"/>
          <w:b/>
          <w:u w:val="single"/>
        </w:rPr>
      </w:pPr>
      <w:r w:rsidRPr="000C6287">
        <w:rPr>
          <w:rFonts w:ascii="Arial" w:hAnsi="Arial" w:cs="Arial"/>
        </w:rPr>
        <w:t>Vacation &amp; sick and payroll tax are the only labor-related overhead costs included in the Public Purpose Program (PPP) surcharge that funds LIEE, EE, and CARE programs.  All other labor-related overhead costs are excluded from the calculation of the PPP surcharge because those costs are funded through SDG&amp;E’s GRC.  2013 costs for vacation &amp; sick and payroll taxes for each of the programs are:</w:t>
      </w:r>
    </w:p>
    <w:p w:rsidR="000F55F5" w:rsidRDefault="000F55F5" w:rsidP="000F55F5">
      <w:pPr>
        <w:rPr>
          <w:rFonts w:ascii="Arial" w:hAnsi="Arial" w:cs="Arial"/>
          <w:b/>
          <w:u w:val="single"/>
        </w:rPr>
      </w:pPr>
    </w:p>
    <w:p w:rsidR="000F55F5" w:rsidRDefault="000F55F5" w:rsidP="000F55F5">
      <w:pPr>
        <w:rPr>
          <w:rFonts w:ascii="Arial" w:hAnsi="Arial" w:cs="Arial"/>
          <w:b/>
          <w:u w:val="single"/>
        </w:rPr>
      </w:pPr>
    </w:p>
    <w:tbl>
      <w:tblPr>
        <w:tblW w:w="6465" w:type="dxa"/>
        <w:tblInd w:w="2193" w:type="dxa"/>
        <w:tblLook w:val="04A0" w:firstRow="1" w:lastRow="0" w:firstColumn="1" w:lastColumn="0" w:noHBand="0" w:noVBand="1"/>
      </w:tblPr>
      <w:tblGrid>
        <w:gridCol w:w="1780"/>
        <w:gridCol w:w="1535"/>
        <w:gridCol w:w="1620"/>
        <w:gridCol w:w="1530"/>
      </w:tblGrid>
      <w:tr w:rsidR="000F55F5" w:rsidTr="003060CB">
        <w:trPr>
          <w:trHeight w:val="300"/>
        </w:trPr>
        <w:tc>
          <w:tcPr>
            <w:tcW w:w="178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w:t>
            </w:r>
          </w:p>
        </w:tc>
        <w:tc>
          <w:tcPr>
            <w:tcW w:w="1535"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LIEE</w:t>
            </w:r>
          </w:p>
        </w:tc>
        <w:tc>
          <w:tcPr>
            <w:tcW w:w="1620"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EE</w:t>
            </w:r>
          </w:p>
        </w:tc>
        <w:tc>
          <w:tcPr>
            <w:tcW w:w="1530"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CARE</w:t>
            </w:r>
          </w:p>
        </w:tc>
      </w:tr>
      <w:tr w:rsidR="000F55F5" w:rsidTr="003060CB">
        <w:trPr>
          <w:trHeight w:val="300"/>
        </w:trPr>
        <w:tc>
          <w:tcPr>
            <w:tcW w:w="1780" w:type="dxa"/>
            <w:tcBorders>
              <w:top w:val="nil"/>
              <w:left w:val="single" w:sz="4" w:space="0" w:color="auto"/>
              <w:bottom w:val="single" w:sz="4" w:space="0" w:color="auto"/>
              <w:right w:val="single" w:sz="4" w:space="0" w:color="auto"/>
            </w:tcBorders>
            <w:noWrap/>
            <w:vAlign w:val="bottom"/>
            <w:hideMark/>
          </w:tcPr>
          <w:p w:rsidR="000F55F5" w:rsidRDefault="000F55F5" w:rsidP="003060CB">
            <w:pPr>
              <w:rPr>
                <w:rFonts w:ascii="Calibri" w:hAnsi="Calibri"/>
                <w:b/>
                <w:bCs/>
                <w:color w:val="000000"/>
                <w:sz w:val="22"/>
                <w:szCs w:val="22"/>
              </w:rPr>
            </w:pPr>
            <w:r>
              <w:rPr>
                <w:rFonts w:ascii="Calibri" w:hAnsi="Calibri"/>
                <w:b/>
                <w:bCs/>
                <w:color w:val="000000"/>
                <w:sz w:val="22"/>
                <w:szCs w:val="22"/>
              </w:rPr>
              <w:t>Vacation &amp; Sick</w:t>
            </w:r>
          </w:p>
        </w:tc>
        <w:tc>
          <w:tcPr>
            <w:tcW w:w="1535"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84,058</w:t>
            </w:r>
          </w:p>
        </w:tc>
        <w:tc>
          <w:tcPr>
            <w:tcW w:w="162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143,210 </w:t>
            </w:r>
          </w:p>
        </w:tc>
        <w:tc>
          <w:tcPr>
            <w:tcW w:w="153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25,163 </w:t>
            </w:r>
          </w:p>
        </w:tc>
      </w:tr>
      <w:tr w:rsidR="000F55F5" w:rsidTr="003060CB">
        <w:trPr>
          <w:trHeight w:val="300"/>
        </w:trPr>
        <w:tc>
          <w:tcPr>
            <w:tcW w:w="1780" w:type="dxa"/>
            <w:tcBorders>
              <w:top w:val="nil"/>
              <w:left w:val="single" w:sz="4" w:space="0" w:color="auto"/>
              <w:bottom w:val="single" w:sz="4" w:space="0" w:color="auto"/>
              <w:right w:val="single" w:sz="4" w:space="0" w:color="auto"/>
            </w:tcBorders>
            <w:noWrap/>
            <w:vAlign w:val="bottom"/>
            <w:hideMark/>
          </w:tcPr>
          <w:p w:rsidR="000F55F5" w:rsidRDefault="000F55F5" w:rsidP="003060CB">
            <w:pPr>
              <w:rPr>
                <w:rFonts w:ascii="Calibri" w:hAnsi="Calibri"/>
                <w:b/>
                <w:bCs/>
                <w:color w:val="000000"/>
                <w:sz w:val="22"/>
                <w:szCs w:val="22"/>
              </w:rPr>
            </w:pPr>
            <w:r>
              <w:rPr>
                <w:rFonts w:ascii="Calibri" w:hAnsi="Calibri"/>
                <w:b/>
                <w:bCs/>
                <w:color w:val="000000"/>
                <w:sz w:val="22"/>
                <w:szCs w:val="22"/>
              </w:rPr>
              <w:t>Payroll Tax</w:t>
            </w:r>
          </w:p>
        </w:tc>
        <w:tc>
          <w:tcPr>
            <w:tcW w:w="1535"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46,175 </w:t>
            </w:r>
          </w:p>
        </w:tc>
        <w:tc>
          <w:tcPr>
            <w:tcW w:w="162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77,332 </w:t>
            </w:r>
          </w:p>
        </w:tc>
        <w:tc>
          <w:tcPr>
            <w:tcW w:w="153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13,775 </w:t>
            </w:r>
          </w:p>
        </w:tc>
      </w:tr>
    </w:tbl>
    <w:p w:rsidR="000F55F5" w:rsidRDefault="000F55F5" w:rsidP="000F55F5">
      <w:pPr>
        <w:rPr>
          <w:rFonts w:ascii="Arial" w:hAnsi="Arial" w:cs="Arial"/>
          <w:b/>
          <w:u w:val="single"/>
        </w:rPr>
      </w:pPr>
    </w:p>
    <w:p w:rsidR="000F55F5" w:rsidRDefault="000F55F5" w:rsidP="000F55F5">
      <w:pPr>
        <w:spacing w:after="240"/>
        <w:ind w:left="360"/>
        <w:rPr>
          <w:rFonts w:ascii="Arial" w:hAnsi="Arial" w:cs="Arial"/>
          <w:b/>
          <w:u w:val="single"/>
        </w:rPr>
      </w:pPr>
      <w:r>
        <w:rPr>
          <w:rFonts w:ascii="Arial" w:hAnsi="Arial" w:cs="Arial"/>
        </w:rPr>
        <w:t>c) As explained in b) above, only vacation and sick, and payroll tax are the only labor-related overhead costs included in the Public Purpose Program (PPP) surcharge that funds LIEE, EE, and CARE programs.  All other labor-related overhead costs, including pensions, benefits, workers compensation, are excluded from the calculation of the PPP surcharge because those costs are funded through SDGE’s GRC.</w:t>
      </w:r>
    </w:p>
    <w:p w:rsidR="000F55F5" w:rsidRDefault="000F55F5" w:rsidP="000F55F5">
      <w:pPr>
        <w:rPr>
          <w:rFonts w:ascii="Arial" w:hAnsi="Arial" w:cs="Arial"/>
          <w:b/>
        </w:rPr>
      </w:pPr>
      <w:proofErr w:type="gramStart"/>
      <w:r>
        <w:rPr>
          <w:rFonts w:ascii="Arial" w:hAnsi="Arial" w:cs="Arial"/>
        </w:rPr>
        <w:t>d</w:t>
      </w:r>
      <w:proofErr w:type="gramEnd"/>
      <w:r>
        <w:rPr>
          <w:rFonts w:ascii="Arial" w:hAnsi="Arial" w:cs="Arial"/>
        </w:rPr>
        <w:t xml:space="preserve"> i)  2013 recorded labor expenses for LIEE, EE, and CARE are:</w:t>
      </w:r>
    </w:p>
    <w:tbl>
      <w:tblPr>
        <w:tblW w:w="7418" w:type="dxa"/>
        <w:tblInd w:w="1600" w:type="dxa"/>
        <w:tblLook w:val="04A0" w:firstRow="1" w:lastRow="0" w:firstColumn="1" w:lastColumn="0" w:noHBand="0" w:noVBand="1"/>
      </w:tblPr>
      <w:tblGrid>
        <w:gridCol w:w="2558"/>
        <w:gridCol w:w="1620"/>
        <w:gridCol w:w="1620"/>
        <w:gridCol w:w="1620"/>
      </w:tblGrid>
      <w:tr w:rsidR="000F55F5" w:rsidTr="003060CB">
        <w:trPr>
          <w:trHeight w:val="300"/>
        </w:trPr>
        <w:tc>
          <w:tcPr>
            <w:tcW w:w="2558"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w:t>
            </w:r>
          </w:p>
        </w:tc>
        <w:tc>
          <w:tcPr>
            <w:tcW w:w="1620"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LIEE</w:t>
            </w:r>
          </w:p>
        </w:tc>
        <w:tc>
          <w:tcPr>
            <w:tcW w:w="1620"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EE</w:t>
            </w:r>
          </w:p>
        </w:tc>
        <w:tc>
          <w:tcPr>
            <w:tcW w:w="1620" w:type="dxa"/>
            <w:tcBorders>
              <w:top w:val="single" w:sz="4" w:space="0" w:color="auto"/>
              <w:left w:val="nil"/>
              <w:bottom w:val="single" w:sz="4" w:space="0" w:color="auto"/>
              <w:right w:val="single" w:sz="4" w:space="0" w:color="auto"/>
            </w:tcBorders>
            <w:noWrap/>
            <w:vAlign w:val="bottom"/>
            <w:hideMark/>
          </w:tcPr>
          <w:p w:rsidR="000F55F5" w:rsidRDefault="000F55F5" w:rsidP="003060CB">
            <w:pPr>
              <w:jc w:val="center"/>
              <w:rPr>
                <w:rFonts w:ascii="Calibri" w:hAnsi="Calibri"/>
                <w:b/>
                <w:bCs/>
                <w:color w:val="000000"/>
                <w:sz w:val="22"/>
                <w:szCs w:val="22"/>
              </w:rPr>
            </w:pPr>
            <w:r>
              <w:rPr>
                <w:rFonts w:ascii="Calibri" w:hAnsi="Calibri"/>
                <w:b/>
                <w:bCs/>
                <w:color w:val="000000"/>
                <w:sz w:val="22"/>
                <w:szCs w:val="22"/>
              </w:rPr>
              <w:t>CARE</w:t>
            </w:r>
          </w:p>
        </w:tc>
      </w:tr>
      <w:tr w:rsidR="000F55F5" w:rsidTr="003060CB">
        <w:trPr>
          <w:trHeight w:val="300"/>
        </w:trPr>
        <w:tc>
          <w:tcPr>
            <w:tcW w:w="2558" w:type="dxa"/>
            <w:tcBorders>
              <w:top w:val="nil"/>
              <w:left w:val="single" w:sz="4" w:space="0" w:color="auto"/>
              <w:bottom w:val="single" w:sz="4" w:space="0" w:color="auto"/>
              <w:right w:val="single" w:sz="4" w:space="0" w:color="auto"/>
            </w:tcBorders>
            <w:noWrap/>
            <w:vAlign w:val="bottom"/>
            <w:hideMark/>
          </w:tcPr>
          <w:p w:rsidR="000F55F5" w:rsidRDefault="000F55F5" w:rsidP="003060CB">
            <w:pPr>
              <w:rPr>
                <w:rFonts w:ascii="Calibri" w:hAnsi="Calibri"/>
                <w:b/>
                <w:bCs/>
                <w:color w:val="000000"/>
                <w:sz w:val="22"/>
                <w:szCs w:val="22"/>
              </w:rPr>
            </w:pPr>
            <w:r>
              <w:rPr>
                <w:rFonts w:ascii="Calibri" w:hAnsi="Calibri"/>
                <w:b/>
                <w:bCs/>
                <w:color w:val="000000"/>
                <w:sz w:val="22"/>
                <w:szCs w:val="22"/>
              </w:rPr>
              <w:t>2013 Labor Expenses</w:t>
            </w:r>
          </w:p>
        </w:tc>
        <w:tc>
          <w:tcPr>
            <w:tcW w:w="162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573,336 </w:t>
            </w:r>
          </w:p>
        </w:tc>
        <w:tc>
          <w:tcPr>
            <w:tcW w:w="162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960,866 </w:t>
            </w:r>
          </w:p>
        </w:tc>
        <w:tc>
          <w:tcPr>
            <w:tcW w:w="1620" w:type="dxa"/>
            <w:tcBorders>
              <w:top w:val="nil"/>
              <w:left w:val="nil"/>
              <w:bottom w:val="single" w:sz="4" w:space="0" w:color="auto"/>
              <w:right w:val="single" w:sz="4" w:space="0" w:color="auto"/>
            </w:tcBorders>
            <w:noWrap/>
            <w:vAlign w:val="bottom"/>
            <w:hideMark/>
          </w:tcPr>
          <w:p w:rsidR="000F55F5" w:rsidRDefault="000F55F5" w:rsidP="003060CB">
            <w:pPr>
              <w:rPr>
                <w:rFonts w:ascii="Calibri" w:hAnsi="Calibri"/>
                <w:color w:val="000000"/>
                <w:sz w:val="22"/>
                <w:szCs w:val="22"/>
              </w:rPr>
            </w:pPr>
            <w:r>
              <w:rPr>
                <w:rFonts w:ascii="Calibri" w:hAnsi="Calibri"/>
                <w:color w:val="000000"/>
                <w:sz w:val="22"/>
                <w:szCs w:val="22"/>
              </w:rPr>
              <w:t xml:space="preserve"> $     172,470 </w:t>
            </w:r>
          </w:p>
        </w:tc>
      </w:tr>
    </w:tbl>
    <w:p w:rsidR="000F55F5" w:rsidRDefault="000F55F5" w:rsidP="000F55F5">
      <w:pPr>
        <w:pStyle w:val="ListParagraph"/>
        <w:spacing w:before="0" w:beforeAutospacing="0" w:after="240" w:afterAutospacing="0"/>
        <w:ind w:left="720"/>
        <w:rPr>
          <w:rFonts w:ascii="Arial" w:hAnsi="Arial" w:cs="Arial"/>
          <w:b/>
        </w:rPr>
      </w:pPr>
    </w:p>
    <w:p w:rsidR="000F55F5" w:rsidRDefault="000F55F5" w:rsidP="000F55F5">
      <w:pPr>
        <w:pStyle w:val="ListParagraph"/>
        <w:ind w:left="720"/>
        <w:rPr>
          <w:rFonts w:ascii="Arial" w:hAnsi="Arial" w:cs="Arial"/>
        </w:rPr>
      </w:pPr>
      <w:r>
        <w:rPr>
          <w:rFonts w:ascii="Arial" w:hAnsi="Arial" w:cs="Arial"/>
        </w:rPr>
        <w:t>Vacation &amp; sick and payroll tax costs were provided in response 36b) above.</w:t>
      </w:r>
    </w:p>
    <w:p w:rsidR="000F55F5" w:rsidRPr="000F55F5" w:rsidRDefault="000F55F5" w:rsidP="000F55F5">
      <w:pPr>
        <w:pStyle w:val="ListParagraph"/>
        <w:numPr>
          <w:ilvl w:val="2"/>
          <w:numId w:val="22"/>
        </w:numPr>
        <w:rPr>
          <w:rFonts w:ascii="Arial" w:hAnsi="Arial" w:cs="Arial"/>
        </w:rPr>
      </w:pPr>
      <w:r w:rsidRPr="000F55F5">
        <w:rPr>
          <w:rFonts w:ascii="Arial" w:hAnsi="Arial" w:cs="Arial"/>
        </w:rPr>
        <w:t xml:space="preserve">Pensions, benefits, and workers compensation expenses for public goods workers are marginal costs, given that these costs are affected by changes in labor associated with the public goods programs.  The marginal costs of direct labor, vacation and sick, and payroll taxes for the public goods workers are included in the PPP surcharge and, therefore, are not included in the LRMC study.  Because pensions, benefits, and workers compensation expenses for public goods workers are not included in the PPP surcharge, they are included in the LRMC study.    </w:t>
      </w:r>
    </w:p>
    <w:p w:rsidR="0031141C" w:rsidRPr="000778A9" w:rsidRDefault="0031141C" w:rsidP="0031141C">
      <w:pPr>
        <w:rPr>
          <w:rFonts w:ascii="Arial" w:hAnsi="Arial" w:cs="Arial"/>
        </w:rPr>
      </w:pPr>
      <w:r w:rsidRPr="000778A9">
        <w:rPr>
          <w:rFonts w:ascii="Arial" w:hAnsi="Arial" w:cs="Arial"/>
        </w:rPr>
        <w:br w:type="page"/>
      </w:r>
    </w:p>
    <w:p w:rsidR="00BC332F" w:rsidRDefault="00BC332F" w:rsidP="0031141C">
      <w:pPr>
        <w:rPr>
          <w:rFonts w:ascii="Arial" w:hAnsi="Arial" w:cs="Arial"/>
          <w:b/>
          <w:u w:val="single"/>
        </w:rPr>
      </w:pPr>
    </w:p>
    <w:p w:rsidR="00BC332F" w:rsidRDefault="00BC332F" w:rsidP="0031141C">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37</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annual bill frequency distributions for residential customers, divided into single-family and multi-family for calendar years 2013, 2014, and 2015 for SoCalGas. For each annual bill frequency bin, please provide average monthly usage for that stratum.</w:t>
      </w:r>
    </w:p>
    <w:p w:rsidR="00414383" w:rsidRDefault="00414383" w:rsidP="00414383">
      <w:pPr>
        <w:rPr>
          <w:rFonts w:ascii="Arial" w:hAnsi="Arial" w:cs="Arial"/>
          <w:b/>
          <w:u w:val="single"/>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37</w:t>
      </w:r>
      <w:r w:rsidRPr="00F759E8">
        <w:rPr>
          <w:rFonts w:ascii="Arial" w:hAnsi="Arial" w:cs="Arial"/>
          <w:b/>
          <w:u w:val="single"/>
        </w:rPr>
        <w:t>:</w:t>
      </w:r>
    </w:p>
    <w:tbl>
      <w:tblPr>
        <w:tblW w:w="4541" w:type="dxa"/>
        <w:jc w:val="center"/>
        <w:tblInd w:w="93" w:type="dxa"/>
        <w:tblLook w:val="04A0" w:firstRow="1" w:lastRow="0" w:firstColumn="1" w:lastColumn="0" w:noHBand="0" w:noVBand="1"/>
      </w:tblPr>
      <w:tblGrid>
        <w:gridCol w:w="1907"/>
        <w:gridCol w:w="878"/>
        <w:gridCol w:w="878"/>
        <w:gridCol w:w="878"/>
      </w:tblGrid>
      <w:tr w:rsidR="00414383" w:rsidTr="00414383">
        <w:trPr>
          <w:trHeight w:val="300"/>
          <w:jc w:val="center"/>
        </w:trPr>
        <w:tc>
          <w:tcPr>
            <w:tcW w:w="4541" w:type="dxa"/>
            <w:gridSpan w:val="4"/>
            <w:tcBorders>
              <w:top w:val="nil"/>
              <w:left w:val="nil"/>
              <w:bottom w:val="nil"/>
              <w:right w:val="nil"/>
            </w:tcBorders>
            <w:shd w:val="clear" w:color="000000" w:fill="C5D9F1"/>
            <w:noWrap/>
            <w:vAlign w:val="bottom"/>
            <w:hideMark/>
          </w:tcPr>
          <w:p w:rsidR="00414383" w:rsidRDefault="00414383" w:rsidP="00414383">
            <w:pPr>
              <w:rPr>
                <w:rFonts w:ascii="Calibri" w:hAnsi="Calibri"/>
                <w:b/>
                <w:bCs/>
                <w:color w:val="000000"/>
                <w:sz w:val="22"/>
                <w:szCs w:val="22"/>
              </w:rPr>
            </w:pPr>
            <w:r>
              <w:rPr>
                <w:rFonts w:ascii="Calibri" w:hAnsi="Calibri"/>
                <w:b/>
                <w:bCs/>
                <w:color w:val="000000"/>
                <w:sz w:val="22"/>
                <w:szCs w:val="22"/>
              </w:rPr>
              <w:t xml:space="preserve">Single Family - </w:t>
            </w:r>
            <w:proofErr w:type="spellStart"/>
            <w:r>
              <w:rPr>
                <w:rFonts w:ascii="Calibri" w:hAnsi="Calibri"/>
                <w:b/>
                <w:bCs/>
                <w:color w:val="000000"/>
                <w:sz w:val="22"/>
                <w:szCs w:val="22"/>
              </w:rPr>
              <w:t>Avg</w:t>
            </w:r>
            <w:proofErr w:type="spellEnd"/>
            <w:r>
              <w:rPr>
                <w:rFonts w:ascii="Calibri" w:hAnsi="Calibri"/>
                <w:b/>
                <w:bCs/>
                <w:color w:val="000000"/>
                <w:sz w:val="22"/>
                <w:szCs w:val="22"/>
              </w:rPr>
              <w:t xml:space="preserve"> Monthly Use per Customer</w:t>
            </w:r>
          </w:p>
        </w:tc>
      </w:tr>
      <w:tr w:rsidR="00414383" w:rsidTr="00414383">
        <w:trPr>
          <w:trHeight w:val="300"/>
          <w:jc w:val="center"/>
        </w:trPr>
        <w:tc>
          <w:tcPr>
            <w:tcW w:w="1907"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Bill Quantile</w:t>
            </w:r>
          </w:p>
        </w:tc>
        <w:tc>
          <w:tcPr>
            <w:tcW w:w="878"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2013</w:t>
            </w:r>
          </w:p>
        </w:tc>
        <w:tc>
          <w:tcPr>
            <w:tcW w:w="878"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2014</w:t>
            </w:r>
          </w:p>
        </w:tc>
        <w:tc>
          <w:tcPr>
            <w:tcW w:w="878"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2015</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0%-10%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12.1</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10.5</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10.3</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10%-20%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23.7</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19.9</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19.9</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20%-30%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32.2</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26.4</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26.3</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30%-40%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42.0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32.8</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33.2</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40%-50%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55.5</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40.2</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42.1</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50%-60%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71.1</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49.5</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53.5</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60%-70%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89.1</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62.3</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68.2</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70%-80%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112.9</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80.1</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88.4</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80%-90%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149.6</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110.7</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121.9</w:t>
            </w:r>
          </w:p>
        </w:tc>
      </w:tr>
      <w:tr w:rsidR="00414383" w:rsidTr="00414383">
        <w:trPr>
          <w:trHeight w:val="300"/>
          <w:jc w:val="center"/>
        </w:trPr>
        <w:tc>
          <w:tcPr>
            <w:tcW w:w="1907"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90%-100%</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274.5</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231.7</w:t>
            </w:r>
          </w:p>
        </w:tc>
        <w:tc>
          <w:tcPr>
            <w:tcW w:w="878"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248.0</w:t>
            </w:r>
          </w:p>
        </w:tc>
      </w:tr>
      <w:tr w:rsidR="00414383" w:rsidTr="00414383">
        <w:trPr>
          <w:trHeight w:val="300"/>
          <w:jc w:val="center"/>
        </w:trPr>
        <w:tc>
          <w:tcPr>
            <w:tcW w:w="1907" w:type="dxa"/>
            <w:tcBorders>
              <w:top w:val="nil"/>
              <w:left w:val="nil"/>
              <w:bottom w:val="nil"/>
              <w:right w:val="nil"/>
            </w:tcBorders>
            <w:shd w:val="clear" w:color="auto" w:fill="auto"/>
            <w:noWrap/>
            <w:vAlign w:val="bottom"/>
          </w:tcPr>
          <w:p w:rsidR="00414383" w:rsidRDefault="00414383" w:rsidP="00414383">
            <w:pPr>
              <w:jc w:val="right"/>
              <w:rPr>
                <w:rFonts w:ascii="Calibri" w:hAnsi="Calibri"/>
                <w:b/>
                <w:bCs/>
                <w:color w:val="000000"/>
                <w:sz w:val="22"/>
                <w:szCs w:val="22"/>
              </w:rPr>
            </w:pPr>
          </w:p>
          <w:p w:rsidR="00414383" w:rsidRDefault="00414383" w:rsidP="00414383">
            <w:pPr>
              <w:jc w:val="right"/>
              <w:rPr>
                <w:rFonts w:ascii="Calibri" w:hAnsi="Calibri"/>
                <w:b/>
                <w:bCs/>
                <w:color w:val="000000"/>
                <w:sz w:val="22"/>
                <w:szCs w:val="22"/>
              </w:rPr>
            </w:pPr>
          </w:p>
        </w:tc>
        <w:tc>
          <w:tcPr>
            <w:tcW w:w="878" w:type="dxa"/>
            <w:tcBorders>
              <w:top w:val="nil"/>
              <w:left w:val="nil"/>
              <w:bottom w:val="nil"/>
              <w:right w:val="nil"/>
            </w:tcBorders>
            <w:shd w:val="clear" w:color="auto" w:fill="auto"/>
            <w:noWrap/>
            <w:vAlign w:val="bottom"/>
          </w:tcPr>
          <w:p w:rsidR="00414383" w:rsidRDefault="00414383" w:rsidP="00414383">
            <w:pPr>
              <w:jc w:val="right"/>
              <w:rPr>
                <w:rFonts w:ascii="Calibri" w:hAnsi="Calibri"/>
                <w:color w:val="000000"/>
                <w:sz w:val="22"/>
                <w:szCs w:val="22"/>
              </w:rPr>
            </w:pPr>
          </w:p>
        </w:tc>
        <w:tc>
          <w:tcPr>
            <w:tcW w:w="878" w:type="dxa"/>
            <w:tcBorders>
              <w:top w:val="nil"/>
              <w:left w:val="nil"/>
              <w:bottom w:val="nil"/>
              <w:right w:val="nil"/>
            </w:tcBorders>
            <w:shd w:val="clear" w:color="auto" w:fill="auto"/>
            <w:noWrap/>
            <w:vAlign w:val="bottom"/>
          </w:tcPr>
          <w:p w:rsidR="00414383" w:rsidRDefault="00414383" w:rsidP="00414383">
            <w:pPr>
              <w:jc w:val="right"/>
              <w:rPr>
                <w:rFonts w:ascii="Calibri" w:hAnsi="Calibri"/>
                <w:color w:val="000000"/>
                <w:sz w:val="22"/>
                <w:szCs w:val="22"/>
              </w:rPr>
            </w:pPr>
          </w:p>
        </w:tc>
        <w:tc>
          <w:tcPr>
            <w:tcW w:w="878" w:type="dxa"/>
            <w:tcBorders>
              <w:top w:val="nil"/>
              <w:left w:val="nil"/>
              <w:bottom w:val="nil"/>
              <w:right w:val="nil"/>
            </w:tcBorders>
            <w:shd w:val="clear" w:color="auto" w:fill="auto"/>
            <w:noWrap/>
            <w:vAlign w:val="bottom"/>
          </w:tcPr>
          <w:p w:rsidR="00414383" w:rsidRDefault="00414383" w:rsidP="00414383">
            <w:pPr>
              <w:jc w:val="right"/>
              <w:rPr>
                <w:rFonts w:ascii="Calibri" w:hAnsi="Calibri"/>
                <w:color w:val="000000"/>
                <w:sz w:val="22"/>
                <w:szCs w:val="22"/>
              </w:rPr>
            </w:pPr>
          </w:p>
        </w:tc>
      </w:tr>
    </w:tbl>
    <w:p w:rsidR="00414383" w:rsidRDefault="00414383" w:rsidP="00414383">
      <w:pPr>
        <w:rPr>
          <w:rFonts w:ascii="Arial" w:hAnsi="Arial" w:cs="Arial"/>
          <w:b/>
          <w:u w:val="single"/>
        </w:rPr>
      </w:pPr>
    </w:p>
    <w:tbl>
      <w:tblPr>
        <w:tblW w:w="4540" w:type="dxa"/>
        <w:jc w:val="center"/>
        <w:tblInd w:w="93" w:type="dxa"/>
        <w:tblLook w:val="04A0" w:firstRow="1" w:lastRow="0" w:firstColumn="1" w:lastColumn="0" w:noHBand="0" w:noVBand="1"/>
      </w:tblPr>
      <w:tblGrid>
        <w:gridCol w:w="1986"/>
        <w:gridCol w:w="914"/>
        <w:gridCol w:w="820"/>
        <w:gridCol w:w="820"/>
      </w:tblGrid>
      <w:tr w:rsidR="00414383" w:rsidTr="00414383">
        <w:trPr>
          <w:trHeight w:val="300"/>
          <w:jc w:val="center"/>
        </w:trPr>
        <w:tc>
          <w:tcPr>
            <w:tcW w:w="4540" w:type="dxa"/>
            <w:gridSpan w:val="4"/>
            <w:tcBorders>
              <w:top w:val="nil"/>
              <w:left w:val="nil"/>
              <w:bottom w:val="nil"/>
              <w:right w:val="nil"/>
            </w:tcBorders>
            <w:shd w:val="clear" w:color="000000" w:fill="F2DCDB"/>
            <w:noWrap/>
            <w:vAlign w:val="bottom"/>
            <w:hideMark/>
          </w:tcPr>
          <w:p w:rsidR="00414383" w:rsidRDefault="00414383" w:rsidP="00414383">
            <w:pPr>
              <w:rPr>
                <w:rFonts w:ascii="Calibri" w:hAnsi="Calibri"/>
                <w:b/>
                <w:bCs/>
                <w:color w:val="000000"/>
                <w:sz w:val="22"/>
                <w:szCs w:val="22"/>
              </w:rPr>
            </w:pPr>
            <w:r>
              <w:rPr>
                <w:rFonts w:ascii="Calibri" w:hAnsi="Calibri"/>
                <w:b/>
                <w:bCs/>
                <w:color w:val="000000"/>
                <w:sz w:val="22"/>
                <w:szCs w:val="22"/>
              </w:rPr>
              <w:t xml:space="preserve">Multi Family - </w:t>
            </w:r>
            <w:proofErr w:type="spellStart"/>
            <w:r>
              <w:rPr>
                <w:rFonts w:ascii="Calibri" w:hAnsi="Calibri"/>
                <w:b/>
                <w:bCs/>
                <w:color w:val="000000"/>
                <w:sz w:val="22"/>
                <w:szCs w:val="22"/>
              </w:rPr>
              <w:t>Avg</w:t>
            </w:r>
            <w:proofErr w:type="spellEnd"/>
            <w:r>
              <w:rPr>
                <w:rFonts w:ascii="Calibri" w:hAnsi="Calibri"/>
                <w:b/>
                <w:bCs/>
                <w:color w:val="000000"/>
                <w:sz w:val="22"/>
                <w:szCs w:val="22"/>
              </w:rPr>
              <w:t xml:space="preserve"> Monthly Use per Customer</w:t>
            </w:r>
          </w:p>
        </w:tc>
      </w:tr>
      <w:tr w:rsidR="00414383" w:rsidTr="00414383">
        <w:trPr>
          <w:trHeight w:val="300"/>
          <w:jc w:val="center"/>
        </w:trPr>
        <w:tc>
          <w:tcPr>
            <w:tcW w:w="1986"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Bill Quantile</w:t>
            </w:r>
          </w:p>
        </w:tc>
        <w:tc>
          <w:tcPr>
            <w:tcW w:w="914"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2013</w:t>
            </w:r>
          </w:p>
        </w:tc>
        <w:tc>
          <w:tcPr>
            <w:tcW w:w="820"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2014</w:t>
            </w:r>
          </w:p>
        </w:tc>
        <w:tc>
          <w:tcPr>
            <w:tcW w:w="820"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2015</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0%-10%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5.0</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4.9</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10%-20%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12.9</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11.4</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20%-30%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17.9</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15.0</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15.5</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30%-40%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22.4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18.4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19.0</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40%-50%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26.8</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22.4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22.4</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50%-60%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32.7</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26.8</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60%-70%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41.0</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31.2</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32.3</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70%-80%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52.7</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38.8</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40.2</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80%-90%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70.8</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51.4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54.6</w:t>
            </w:r>
          </w:p>
        </w:tc>
      </w:tr>
      <w:tr w:rsidR="00414383" w:rsidTr="00414383">
        <w:trPr>
          <w:trHeight w:val="300"/>
          <w:jc w:val="center"/>
        </w:trPr>
        <w:tc>
          <w:tcPr>
            <w:tcW w:w="1986"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90%-100%</w:t>
            </w:r>
          </w:p>
        </w:tc>
        <w:tc>
          <w:tcPr>
            <w:tcW w:w="914"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118.8</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87.4</w:t>
            </w:r>
          </w:p>
        </w:tc>
        <w:tc>
          <w:tcPr>
            <w:tcW w:w="820"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95.8</w:t>
            </w:r>
          </w:p>
        </w:tc>
      </w:tr>
    </w:tbl>
    <w:p w:rsidR="00414383" w:rsidRDefault="00414383" w:rsidP="00414383">
      <w:pPr>
        <w:rPr>
          <w:rFonts w:ascii="Arial" w:hAnsi="Arial" w:cs="Arial"/>
          <w:b/>
          <w:u w:val="single"/>
        </w:rPr>
      </w:pPr>
    </w:p>
    <w:p w:rsidR="00414383" w:rsidRDefault="00414383" w:rsidP="00414383">
      <w:pPr>
        <w:rPr>
          <w:rFonts w:ascii="Arial" w:hAnsi="Arial" w:cs="Arial"/>
          <w:b/>
          <w:u w:val="single"/>
        </w:rPr>
      </w:pPr>
      <w:r>
        <w:rPr>
          <w:rFonts w:ascii="Arial" w:hAnsi="Arial" w:cs="Arial"/>
          <w:b/>
          <w:u w:val="single"/>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38</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the latest RASS study data for SoCalGas customers including customer weights, climate zones, etc.; include at least 12 months of gas billing data for each sampled customer.</w:t>
      </w:r>
    </w:p>
    <w:p w:rsidR="00414383" w:rsidRDefault="00414383" w:rsidP="00414383">
      <w:pPr>
        <w:rPr>
          <w:rFonts w:ascii="Arial" w:hAnsi="Arial" w:cs="Arial"/>
          <w:b/>
          <w:u w:val="single"/>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38</w:t>
      </w:r>
      <w:r w:rsidRPr="00F759E8">
        <w:rPr>
          <w:rFonts w:ascii="Arial" w:hAnsi="Arial" w:cs="Arial"/>
          <w:b/>
          <w:u w:val="single"/>
        </w:rPr>
        <w:t>:</w:t>
      </w:r>
    </w:p>
    <w:p w:rsidR="00414383" w:rsidRDefault="00414383" w:rsidP="00414383">
      <w:pPr>
        <w:rPr>
          <w:rFonts w:ascii="Arial" w:hAnsi="Arial" w:cs="Arial"/>
          <w:b/>
          <w:u w:val="single"/>
        </w:rPr>
      </w:pPr>
    </w:p>
    <w:p w:rsidR="00414383" w:rsidRDefault="00414383" w:rsidP="00414383">
      <w:pPr>
        <w:rPr>
          <w:rFonts w:ascii="Arial" w:hAnsi="Arial" w:cs="Arial"/>
        </w:rPr>
      </w:pPr>
      <w:r>
        <w:rPr>
          <w:rFonts w:ascii="Arial" w:hAnsi="Arial" w:cs="Arial"/>
        </w:rPr>
        <w:t>Please see the attached file for SoCalGas.</w:t>
      </w:r>
    </w:p>
    <w:p w:rsidR="00414383" w:rsidRDefault="00414383" w:rsidP="00414383">
      <w:pPr>
        <w:rPr>
          <w:rFonts w:ascii="Arial" w:hAnsi="Arial" w:cs="Arial"/>
        </w:rPr>
      </w:pPr>
    </w:p>
    <w:p w:rsidR="00414383" w:rsidRDefault="00414383" w:rsidP="00414383">
      <w:pPr>
        <w:rPr>
          <w:rFonts w:ascii="Arial" w:hAnsi="Arial" w:cs="Arial"/>
        </w:rPr>
      </w:pPr>
    </w:p>
    <w:p w:rsidR="00414383" w:rsidRPr="00682093" w:rsidRDefault="00414383" w:rsidP="00414383">
      <w:pPr>
        <w:jc w:val="center"/>
        <w:rPr>
          <w:rFonts w:ascii="Arial" w:hAnsi="Arial" w:cs="Arial"/>
        </w:rPr>
      </w:pPr>
      <w:r>
        <w:rPr>
          <w:rFonts w:ascii="Arial" w:hAnsi="Arial" w:cs="Arial"/>
        </w:rPr>
        <w:object w:dxaOrig="1531" w:dyaOrig="990">
          <v:shape id="_x0000_i1043" type="#_x0000_t75" style="width:76.4pt;height:49.45pt" o:ole="">
            <v:imagedata r:id="rId60" o:title=""/>
          </v:shape>
          <o:OLEObject Type="Embed" ProgID="Excel.Sheet.8" ShapeID="_x0000_i1043" DrawAspect="Icon" ObjectID="_1519128198" r:id="rId61"/>
        </w:object>
      </w:r>
    </w:p>
    <w:p w:rsidR="00414383" w:rsidRDefault="00414383" w:rsidP="00414383">
      <w:pPr>
        <w:rPr>
          <w:rFonts w:ascii="Arial" w:hAnsi="Arial" w:cs="Arial"/>
          <w:b/>
          <w:u w:val="single"/>
        </w:rPr>
      </w:pPr>
      <w:r>
        <w:rPr>
          <w:rFonts w:ascii="Arial" w:hAnsi="Arial" w:cs="Arial"/>
          <w:b/>
          <w:u w:val="single"/>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39</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all information in the possession of the Sempra utilities relating gas usage by customers of SoCalGas to any of the following characteristics:  dwelling type, dwelling size, household size, or income.</w:t>
      </w:r>
    </w:p>
    <w:p w:rsidR="00414383" w:rsidRPr="0031141C" w:rsidRDefault="00414383" w:rsidP="00414383">
      <w:pPr>
        <w:rPr>
          <w:rFonts w:ascii="Arial" w:hAnsi="Arial" w:cs="Arial"/>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39</w:t>
      </w:r>
      <w:r w:rsidRPr="00F759E8">
        <w:rPr>
          <w:rFonts w:ascii="Arial" w:hAnsi="Arial" w:cs="Arial"/>
          <w:b/>
          <w:u w:val="single"/>
        </w:rPr>
        <w:t>:</w:t>
      </w:r>
    </w:p>
    <w:p w:rsidR="00414383" w:rsidRDefault="00414383" w:rsidP="00414383">
      <w:pPr>
        <w:rPr>
          <w:rFonts w:ascii="Arial" w:hAnsi="Arial" w:cs="Arial"/>
          <w:sz w:val="28"/>
          <w:szCs w:val="28"/>
        </w:rPr>
      </w:pPr>
    </w:p>
    <w:p w:rsidR="00414383" w:rsidRDefault="00414383" w:rsidP="00414383">
      <w:pPr>
        <w:rPr>
          <w:rFonts w:ascii="Arial" w:hAnsi="Arial" w:cs="Arial"/>
          <w:szCs w:val="28"/>
        </w:rPr>
      </w:pPr>
      <w:r w:rsidRPr="00682093">
        <w:rPr>
          <w:rFonts w:ascii="Arial" w:hAnsi="Arial" w:cs="Arial"/>
          <w:szCs w:val="28"/>
        </w:rPr>
        <w:t xml:space="preserve">Please see the file attached in </w:t>
      </w:r>
      <w:r>
        <w:rPr>
          <w:rFonts w:ascii="Arial" w:hAnsi="Arial" w:cs="Arial"/>
          <w:szCs w:val="28"/>
        </w:rPr>
        <w:t>response to Q</w:t>
      </w:r>
      <w:r w:rsidRPr="00682093">
        <w:rPr>
          <w:rFonts w:ascii="Arial" w:hAnsi="Arial" w:cs="Arial"/>
          <w:szCs w:val="28"/>
        </w:rPr>
        <w:t>uestion 38.</w:t>
      </w:r>
    </w:p>
    <w:p w:rsidR="00414383" w:rsidRPr="00682093" w:rsidRDefault="00414383" w:rsidP="00414383">
      <w:pPr>
        <w:rPr>
          <w:rFonts w:ascii="Arial" w:hAnsi="Arial" w:cs="Arial"/>
          <w:szCs w:val="28"/>
        </w:rPr>
      </w:pPr>
    </w:p>
    <w:p w:rsidR="00414383" w:rsidRDefault="00414383" w:rsidP="00414383">
      <w:pPr>
        <w:rPr>
          <w:rFonts w:ascii="Arial" w:hAnsi="Arial" w:cs="Arial"/>
          <w:b/>
          <w:u w:val="single"/>
        </w:rPr>
      </w:pPr>
      <w:r>
        <w:rPr>
          <w:rFonts w:ascii="Arial" w:hAnsi="Arial" w:cs="Arial"/>
          <w:b/>
          <w:u w:val="single"/>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40</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all information in the possession of the Sempra utilities relating saturation of different types of gas appliances by customers of SoCalGas to any of the following characteristics:  dwelling type, dwelling size, household size, or income.</w:t>
      </w:r>
    </w:p>
    <w:p w:rsidR="00414383" w:rsidRDefault="00414383" w:rsidP="00414383">
      <w:pPr>
        <w:rPr>
          <w:rFonts w:ascii="Arial" w:hAnsi="Arial" w:cs="Arial"/>
          <w:b/>
          <w:u w:val="single"/>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40</w:t>
      </w:r>
      <w:r w:rsidRPr="00F759E8">
        <w:rPr>
          <w:rFonts w:ascii="Arial" w:hAnsi="Arial" w:cs="Arial"/>
          <w:b/>
          <w:u w:val="single"/>
        </w:rPr>
        <w:t>:</w:t>
      </w:r>
    </w:p>
    <w:p w:rsidR="00414383" w:rsidRDefault="00414383" w:rsidP="00414383">
      <w:pPr>
        <w:rPr>
          <w:rFonts w:ascii="Arial" w:hAnsi="Arial" w:cs="Arial"/>
          <w:sz w:val="28"/>
          <w:szCs w:val="28"/>
        </w:rPr>
      </w:pPr>
    </w:p>
    <w:p w:rsidR="00434EE7" w:rsidRPr="00682093" w:rsidRDefault="00434EE7" w:rsidP="00434EE7">
      <w:pPr>
        <w:rPr>
          <w:rFonts w:ascii="Arial" w:hAnsi="Arial" w:cs="Arial"/>
          <w:szCs w:val="28"/>
        </w:rPr>
      </w:pPr>
      <w:r w:rsidRPr="00682093">
        <w:rPr>
          <w:rFonts w:ascii="Arial" w:hAnsi="Arial" w:cs="Arial"/>
          <w:szCs w:val="28"/>
        </w:rPr>
        <w:t xml:space="preserve">Please see the file attached in </w:t>
      </w:r>
      <w:r>
        <w:rPr>
          <w:rFonts w:ascii="Arial" w:hAnsi="Arial" w:cs="Arial"/>
          <w:szCs w:val="28"/>
        </w:rPr>
        <w:t>response to Q</w:t>
      </w:r>
      <w:r w:rsidRPr="00682093">
        <w:rPr>
          <w:rFonts w:ascii="Arial" w:hAnsi="Arial" w:cs="Arial"/>
          <w:szCs w:val="28"/>
        </w:rPr>
        <w:t>uestion 38.</w:t>
      </w:r>
    </w:p>
    <w:p w:rsidR="00434EE7" w:rsidRDefault="00434EE7" w:rsidP="00434EE7">
      <w:pPr>
        <w:rPr>
          <w:rFonts w:ascii="Arial" w:hAnsi="Arial" w:cs="Arial"/>
          <w:sz w:val="28"/>
          <w:szCs w:val="28"/>
        </w:rPr>
      </w:pPr>
    </w:p>
    <w:p w:rsidR="00434EE7" w:rsidRDefault="00434EE7" w:rsidP="00434EE7">
      <w:pPr>
        <w:rPr>
          <w:rFonts w:ascii="Arial" w:hAnsi="Arial" w:cs="Arial"/>
          <w:szCs w:val="28"/>
        </w:rPr>
      </w:pPr>
      <w:r>
        <w:rPr>
          <w:rFonts w:ascii="Arial" w:hAnsi="Arial" w:cs="Arial"/>
          <w:szCs w:val="28"/>
        </w:rPr>
        <w:t xml:space="preserve">Please note that “climate zone” corresponds to SoCalGas’ climate zones/temperature zones. For more detail, please see the </w:t>
      </w:r>
      <w:proofErr w:type="spellStart"/>
      <w:r w:rsidRPr="00502AE1">
        <w:rPr>
          <w:rFonts w:ascii="Arial" w:hAnsi="Arial" w:cs="Arial"/>
          <w:szCs w:val="28"/>
        </w:rPr>
        <w:t>Workpapers</w:t>
      </w:r>
      <w:proofErr w:type="spellEnd"/>
      <w:r w:rsidRPr="00502AE1">
        <w:rPr>
          <w:rFonts w:ascii="Arial" w:hAnsi="Arial" w:cs="Arial"/>
          <w:szCs w:val="28"/>
        </w:rPr>
        <w:t xml:space="preserve"> to the Prepared Direct Testimony of Gregory Teplow</w:t>
      </w:r>
      <w:r>
        <w:rPr>
          <w:rFonts w:ascii="Arial" w:hAnsi="Arial" w:cs="Arial"/>
          <w:szCs w:val="28"/>
        </w:rPr>
        <w:t xml:space="preserve"> for this TCAP, page 5. The “weight” is the number of customers represented by the particular survey respondent. “</w:t>
      </w:r>
      <w:proofErr w:type="gramStart"/>
      <w:r>
        <w:rPr>
          <w:rFonts w:ascii="Arial" w:hAnsi="Arial" w:cs="Arial"/>
          <w:szCs w:val="28"/>
        </w:rPr>
        <w:t>people</w:t>
      </w:r>
      <w:proofErr w:type="gramEnd"/>
      <w:r>
        <w:rPr>
          <w:rFonts w:ascii="Arial" w:hAnsi="Arial" w:cs="Arial"/>
          <w:szCs w:val="28"/>
        </w:rPr>
        <w:t xml:space="preserve">” is the number of individuals in the household (i.e. household size). </w:t>
      </w:r>
    </w:p>
    <w:p w:rsidR="00434EE7" w:rsidRDefault="00434EE7" w:rsidP="00434EE7">
      <w:pPr>
        <w:rPr>
          <w:rFonts w:ascii="Arial" w:hAnsi="Arial" w:cs="Arial"/>
          <w:szCs w:val="28"/>
        </w:rPr>
      </w:pPr>
    </w:p>
    <w:p w:rsidR="00434EE7" w:rsidRDefault="00434EE7" w:rsidP="00434EE7">
      <w:pPr>
        <w:rPr>
          <w:rFonts w:ascii="Arial" w:hAnsi="Arial" w:cs="Arial"/>
          <w:szCs w:val="28"/>
        </w:rPr>
      </w:pPr>
      <w:r>
        <w:rPr>
          <w:rFonts w:ascii="Arial" w:hAnsi="Arial" w:cs="Arial"/>
          <w:szCs w:val="28"/>
        </w:rPr>
        <w:t>Dwelling Types are as below:</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580"/>
      </w:tblGrid>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1</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 xml:space="preserve"> Single-Family Detached House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2</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Townhouse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3</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2-4 Unit Apartment/Condominium</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4</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5+ Unit Apartment/Condominium</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5</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Mobile Home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6</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Other</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97</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No Response/Missing Data</w:t>
            </w:r>
          </w:p>
        </w:tc>
      </w:tr>
    </w:tbl>
    <w:p w:rsidR="00434EE7" w:rsidRDefault="00434EE7" w:rsidP="00434EE7">
      <w:pPr>
        <w:rPr>
          <w:rFonts w:ascii="Arial" w:hAnsi="Arial" w:cs="Arial"/>
          <w:szCs w:val="28"/>
        </w:rPr>
      </w:pPr>
    </w:p>
    <w:p w:rsidR="00434EE7" w:rsidRDefault="00434EE7" w:rsidP="00434EE7">
      <w:pPr>
        <w:rPr>
          <w:rFonts w:ascii="Arial" w:hAnsi="Arial" w:cs="Arial"/>
          <w:szCs w:val="28"/>
        </w:rPr>
      </w:pPr>
      <w:r>
        <w:rPr>
          <w:rFonts w:ascii="Arial" w:hAnsi="Arial" w:cs="Arial"/>
          <w:szCs w:val="28"/>
        </w:rPr>
        <w:t>End-use data indicate whether the respondent possesses a gas appliance of that type. The types of appliances in the data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580"/>
      </w:tblGrid>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g_sh</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Space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g_wh</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Water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g_ck</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Cooking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g_dry</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Drying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gas_pool</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Pool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gas_spa</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Spa Heating</w:t>
            </w:r>
          </w:p>
        </w:tc>
      </w:tr>
    </w:tbl>
    <w:p w:rsidR="00434EE7" w:rsidRDefault="00434EE7" w:rsidP="00434EE7">
      <w:pPr>
        <w:rPr>
          <w:rFonts w:ascii="Arial" w:hAnsi="Arial" w:cs="Arial"/>
          <w:sz w:val="28"/>
          <w:szCs w:val="28"/>
        </w:rPr>
      </w:pPr>
    </w:p>
    <w:p w:rsidR="00414383" w:rsidRPr="00434EE7" w:rsidRDefault="00434EE7" w:rsidP="00414383">
      <w:pPr>
        <w:rPr>
          <w:rFonts w:ascii="Arial" w:hAnsi="Arial" w:cs="Arial"/>
          <w:sz w:val="28"/>
          <w:szCs w:val="28"/>
        </w:rPr>
      </w:pPr>
      <w:r w:rsidRPr="00502AE1">
        <w:rPr>
          <w:rFonts w:ascii="Arial" w:hAnsi="Arial" w:cs="Arial"/>
          <w:szCs w:val="28"/>
        </w:rPr>
        <w:t>Saturation</w:t>
      </w:r>
      <w:r>
        <w:rPr>
          <w:rFonts w:ascii="Arial" w:hAnsi="Arial" w:cs="Arial"/>
          <w:szCs w:val="28"/>
        </w:rPr>
        <w:t>s can be calculated for any desired combination of survey characteristics by dividing the sum of the end-use indicators by the total number of respondents with the desired combination of characteristics.</w:t>
      </w:r>
    </w:p>
    <w:p w:rsidR="00414383" w:rsidRDefault="00414383" w:rsidP="00414383">
      <w:pPr>
        <w:rPr>
          <w:rFonts w:ascii="Arial" w:hAnsi="Arial" w:cs="Arial"/>
          <w:sz w:val="28"/>
          <w:szCs w:val="28"/>
        </w:rPr>
      </w:pPr>
    </w:p>
    <w:p w:rsidR="00414383" w:rsidRDefault="00414383" w:rsidP="00414383">
      <w:pPr>
        <w:rPr>
          <w:rFonts w:ascii="Arial" w:hAnsi="Arial" w:cs="Arial"/>
          <w:sz w:val="28"/>
          <w:szCs w:val="28"/>
        </w:rPr>
      </w:pPr>
      <w:r>
        <w:rPr>
          <w:rFonts w:ascii="Arial" w:hAnsi="Arial" w:cs="Arial"/>
          <w:sz w:val="28"/>
          <w:szCs w:val="28"/>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41</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annual bill frequency distributions for residential customers, divided into single-family and multi-family for calendar years 2013, 2014, and 2015 for SDG&amp;E. For each annual bill frequency bin, please provide average monthly usage for that stratum.</w:t>
      </w:r>
    </w:p>
    <w:p w:rsidR="00414383" w:rsidRDefault="00414383" w:rsidP="00414383">
      <w:pPr>
        <w:rPr>
          <w:rFonts w:ascii="Arial" w:hAnsi="Arial" w:cs="Arial"/>
          <w:b/>
          <w:u w:val="single"/>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41</w:t>
      </w:r>
      <w:r w:rsidRPr="00F759E8">
        <w:rPr>
          <w:rFonts w:ascii="Arial" w:hAnsi="Arial" w:cs="Arial"/>
          <w:b/>
          <w:u w:val="single"/>
        </w:rPr>
        <w:t>:</w:t>
      </w:r>
    </w:p>
    <w:tbl>
      <w:tblPr>
        <w:tblW w:w="4540" w:type="dxa"/>
        <w:jc w:val="center"/>
        <w:tblInd w:w="93" w:type="dxa"/>
        <w:tblLook w:val="04A0" w:firstRow="1" w:lastRow="0" w:firstColumn="1" w:lastColumn="0" w:noHBand="0" w:noVBand="1"/>
      </w:tblPr>
      <w:tblGrid>
        <w:gridCol w:w="1723"/>
        <w:gridCol w:w="939"/>
        <w:gridCol w:w="939"/>
        <w:gridCol w:w="939"/>
      </w:tblGrid>
      <w:tr w:rsidR="00414383" w:rsidTr="00414383">
        <w:trPr>
          <w:trHeight w:val="300"/>
          <w:jc w:val="center"/>
        </w:trPr>
        <w:tc>
          <w:tcPr>
            <w:tcW w:w="4540" w:type="dxa"/>
            <w:gridSpan w:val="4"/>
            <w:tcBorders>
              <w:top w:val="nil"/>
              <w:left w:val="nil"/>
              <w:bottom w:val="nil"/>
              <w:right w:val="nil"/>
            </w:tcBorders>
            <w:shd w:val="clear" w:color="000000" w:fill="C5D9F1"/>
            <w:noWrap/>
            <w:vAlign w:val="bottom"/>
            <w:hideMark/>
          </w:tcPr>
          <w:p w:rsidR="00414383" w:rsidRDefault="00414383" w:rsidP="00414383">
            <w:pPr>
              <w:rPr>
                <w:rFonts w:ascii="Calibri" w:hAnsi="Calibri"/>
                <w:b/>
                <w:bCs/>
                <w:color w:val="000000"/>
                <w:sz w:val="22"/>
                <w:szCs w:val="22"/>
              </w:rPr>
            </w:pPr>
            <w:r>
              <w:rPr>
                <w:rFonts w:ascii="Calibri" w:hAnsi="Calibri"/>
                <w:b/>
                <w:bCs/>
                <w:color w:val="000000"/>
                <w:sz w:val="22"/>
                <w:szCs w:val="22"/>
              </w:rPr>
              <w:t xml:space="preserve">Single Family - </w:t>
            </w:r>
            <w:proofErr w:type="spellStart"/>
            <w:r>
              <w:rPr>
                <w:rFonts w:ascii="Calibri" w:hAnsi="Calibri"/>
                <w:b/>
                <w:bCs/>
                <w:color w:val="000000"/>
                <w:sz w:val="22"/>
                <w:szCs w:val="22"/>
              </w:rPr>
              <w:t>Avg</w:t>
            </w:r>
            <w:proofErr w:type="spellEnd"/>
            <w:r>
              <w:rPr>
                <w:rFonts w:ascii="Calibri" w:hAnsi="Calibri"/>
                <w:b/>
                <w:bCs/>
                <w:color w:val="000000"/>
                <w:sz w:val="22"/>
                <w:szCs w:val="22"/>
              </w:rPr>
              <w:t xml:space="preserve"> Monthly Use per Customer</w:t>
            </w:r>
          </w:p>
        </w:tc>
      </w:tr>
      <w:tr w:rsidR="00414383" w:rsidTr="00414383">
        <w:trPr>
          <w:trHeight w:val="300"/>
          <w:jc w:val="center"/>
        </w:trPr>
        <w:tc>
          <w:tcPr>
            <w:tcW w:w="1723"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Quantile</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2013</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2014</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2015</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0%-10%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9.5</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8.2</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7.6</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10%-20%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17.3</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14.9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14.1</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20%-30%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23.9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19.5</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18.9</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30%-40%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31.2</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23.4</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23.8</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40%-50%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40.1</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28.3</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28.8</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50%-60%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51.0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34.7</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35.2</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60%-70%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64.4</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42.6</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44.6</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70%-80%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81.4</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54.1</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57.8</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80%-90%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107.2</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74.0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79.6</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90%-100%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200.1</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151.6</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160.6</w:t>
            </w:r>
          </w:p>
        </w:tc>
      </w:tr>
    </w:tbl>
    <w:p w:rsidR="00414383" w:rsidRPr="00F759E8" w:rsidRDefault="00414383" w:rsidP="00414383">
      <w:pPr>
        <w:rPr>
          <w:rFonts w:ascii="Arial" w:hAnsi="Arial" w:cs="Arial"/>
          <w:b/>
          <w:u w:val="single"/>
        </w:rPr>
      </w:pPr>
    </w:p>
    <w:p w:rsidR="00414383" w:rsidRDefault="00414383" w:rsidP="00414383">
      <w:pPr>
        <w:rPr>
          <w:rFonts w:ascii="Arial" w:hAnsi="Arial" w:cs="Arial"/>
          <w:sz w:val="28"/>
          <w:szCs w:val="28"/>
        </w:rPr>
      </w:pPr>
    </w:p>
    <w:p w:rsidR="00414383" w:rsidRDefault="00414383" w:rsidP="00414383">
      <w:pPr>
        <w:rPr>
          <w:rFonts w:ascii="Arial" w:hAnsi="Arial" w:cs="Arial"/>
          <w:sz w:val="28"/>
          <w:szCs w:val="28"/>
        </w:rPr>
      </w:pPr>
    </w:p>
    <w:tbl>
      <w:tblPr>
        <w:tblW w:w="4540" w:type="dxa"/>
        <w:jc w:val="center"/>
        <w:tblInd w:w="93" w:type="dxa"/>
        <w:tblLook w:val="04A0" w:firstRow="1" w:lastRow="0" w:firstColumn="1" w:lastColumn="0" w:noHBand="0" w:noVBand="1"/>
      </w:tblPr>
      <w:tblGrid>
        <w:gridCol w:w="1723"/>
        <w:gridCol w:w="939"/>
        <w:gridCol w:w="939"/>
        <w:gridCol w:w="939"/>
      </w:tblGrid>
      <w:tr w:rsidR="00414383" w:rsidTr="00414383">
        <w:trPr>
          <w:trHeight w:val="300"/>
          <w:jc w:val="center"/>
        </w:trPr>
        <w:tc>
          <w:tcPr>
            <w:tcW w:w="4540" w:type="dxa"/>
            <w:gridSpan w:val="4"/>
            <w:tcBorders>
              <w:top w:val="nil"/>
              <w:left w:val="nil"/>
              <w:bottom w:val="nil"/>
              <w:right w:val="nil"/>
            </w:tcBorders>
            <w:shd w:val="clear" w:color="000000" w:fill="F2DCDB"/>
            <w:noWrap/>
            <w:vAlign w:val="bottom"/>
            <w:hideMark/>
          </w:tcPr>
          <w:p w:rsidR="00414383" w:rsidRDefault="00414383" w:rsidP="00414383">
            <w:pPr>
              <w:rPr>
                <w:rFonts w:ascii="Calibri" w:hAnsi="Calibri"/>
                <w:b/>
                <w:bCs/>
                <w:color w:val="000000"/>
                <w:sz w:val="22"/>
                <w:szCs w:val="22"/>
              </w:rPr>
            </w:pPr>
            <w:r>
              <w:rPr>
                <w:rFonts w:ascii="Calibri" w:hAnsi="Calibri"/>
                <w:b/>
                <w:bCs/>
                <w:color w:val="000000"/>
                <w:sz w:val="22"/>
                <w:szCs w:val="22"/>
              </w:rPr>
              <w:t xml:space="preserve">Multi Family - </w:t>
            </w:r>
            <w:proofErr w:type="spellStart"/>
            <w:r>
              <w:rPr>
                <w:rFonts w:ascii="Calibri" w:hAnsi="Calibri"/>
                <w:b/>
                <w:bCs/>
                <w:color w:val="000000"/>
                <w:sz w:val="22"/>
                <w:szCs w:val="22"/>
              </w:rPr>
              <w:t>Avg</w:t>
            </w:r>
            <w:proofErr w:type="spellEnd"/>
            <w:r>
              <w:rPr>
                <w:rFonts w:ascii="Calibri" w:hAnsi="Calibri"/>
                <w:b/>
                <w:bCs/>
                <w:color w:val="000000"/>
                <w:sz w:val="22"/>
                <w:szCs w:val="22"/>
              </w:rPr>
              <w:t xml:space="preserve"> Monthly Use per Customer</w:t>
            </w:r>
          </w:p>
        </w:tc>
      </w:tr>
      <w:tr w:rsidR="00414383" w:rsidTr="00414383">
        <w:trPr>
          <w:trHeight w:val="300"/>
          <w:jc w:val="center"/>
        </w:trPr>
        <w:tc>
          <w:tcPr>
            <w:tcW w:w="1723"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Quantile</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2013</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2014</w:t>
            </w:r>
          </w:p>
        </w:tc>
        <w:tc>
          <w:tcPr>
            <w:tcW w:w="939" w:type="dxa"/>
            <w:tcBorders>
              <w:top w:val="nil"/>
              <w:left w:val="nil"/>
              <w:bottom w:val="nil"/>
              <w:right w:val="nil"/>
            </w:tcBorders>
            <w:shd w:val="clear" w:color="000000" w:fill="D9D9D9"/>
            <w:noWrap/>
            <w:vAlign w:val="bottom"/>
            <w:hideMark/>
          </w:tcPr>
          <w:p w:rsidR="00414383" w:rsidRDefault="00414383" w:rsidP="00414383">
            <w:pPr>
              <w:jc w:val="right"/>
              <w:rPr>
                <w:rFonts w:ascii="Calibri" w:hAnsi="Calibri"/>
                <w:b/>
                <w:bCs/>
                <w:color w:val="000000"/>
                <w:sz w:val="22"/>
                <w:szCs w:val="22"/>
                <w:u w:val="single"/>
              </w:rPr>
            </w:pPr>
            <w:r>
              <w:rPr>
                <w:rFonts w:ascii="Calibri" w:hAnsi="Calibri"/>
                <w:b/>
                <w:bCs/>
                <w:color w:val="000000"/>
                <w:sz w:val="22"/>
                <w:szCs w:val="22"/>
                <w:u w:val="single"/>
              </w:rPr>
              <w:t>2015</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0%-10%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5.4</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4.3</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10%-20%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10.0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9.0</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20%-30%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14.0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12.5</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11.9</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30%-40%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16.9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14.9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15.1</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40%-50%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20.8</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18.5</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17.9</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50%-60%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25.9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21.9</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21.3</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60%-70%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31.6</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26.2</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26.2</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70%-80%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40.6</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33.6</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34.3</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80%-90%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58.4</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52.2</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54.5</w:t>
            </w:r>
          </w:p>
        </w:tc>
      </w:tr>
      <w:tr w:rsidR="00414383" w:rsidTr="00414383">
        <w:trPr>
          <w:trHeight w:val="300"/>
          <w:jc w:val="center"/>
        </w:trPr>
        <w:tc>
          <w:tcPr>
            <w:tcW w:w="1723"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b/>
                <w:bCs/>
                <w:color w:val="000000"/>
                <w:sz w:val="22"/>
                <w:szCs w:val="22"/>
              </w:rPr>
            </w:pPr>
            <w:r>
              <w:rPr>
                <w:rFonts w:ascii="Calibri" w:hAnsi="Calibri"/>
                <w:b/>
                <w:bCs/>
                <w:color w:val="000000"/>
                <w:sz w:val="22"/>
                <w:szCs w:val="22"/>
              </w:rPr>
              <w:t>90%-100%</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156.8</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226.3</w:t>
            </w:r>
          </w:p>
        </w:tc>
        <w:tc>
          <w:tcPr>
            <w:tcW w:w="939" w:type="dxa"/>
            <w:tcBorders>
              <w:top w:val="nil"/>
              <w:left w:val="nil"/>
              <w:bottom w:val="nil"/>
              <w:right w:val="nil"/>
            </w:tcBorders>
            <w:shd w:val="clear" w:color="auto" w:fill="auto"/>
            <w:noWrap/>
            <w:vAlign w:val="bottom"/>
            <w:hideMark/>
          </w:tcPr>
          <w:p w:rsidR="00414383" w:rsidRDefault="00414383" w:rsidP="00414383">
            <w:pPr>
              <w:jc w:val="right"/>
              <w:rPr>
                <w:rFonts w:ascii="Calibri" w:hAnsi="Calibri"/>
                <w:color w:val="000000"/>
                <w:sz w:val="22"/>
                <w:szCs w:val="22"/>
              </w:rPr>
            </w:pPr>
            <w:r>
              <w:rPr>
                <w:rFonts w:ascii="Calibri" w:hAnsi="Calibri"/>
                <w:color w:val="000000"/>
                <w:sz w:val="22"/>
                <w:szCs w:val="22"/>
              </w:rPr>
              <w:t>223.4</w:t>
            </w:r>
          </w:p>
        </w:tc>
      </w:tr>
    </w:tbl>
    <w:p w:rsidR="00414383" w:rsidRDefault="00414383" w:rsidP="00414383">
      <w:pPr>
        <w:rPr>
          <w:rFonts w:ascii="Arial" w:hAnsi="Arial" w:cs="Arial"/>
          <w:sz w:val="28"/>
          <w:szCs w:val="28"/>
        </w:rPr>
      </w:pP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42</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the latest RASS study data for SDG&amp;E customers including customer weights, climate zones, etc.; include at least 12 months of gas billing data for each sampled customer.</w:t>
      </w:r>
    </w:p>
    <w:p w:rsidR="00414383" w:rsidRPr="0031141C" w:rsidRDefault="00414383" w:rsidP="00414383">
      <w:pPr>
        <w:rPr>
          <w:rFonts w:ascii="Arial" w:hAnsi="Arial" w:cs="Arial"/>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42</w:t>
      </w:r>
      <w:r w:rsidRPr="00F759E8">
        <w:rPr>
          <w:rFonts w:ascii="Arial" w:hAnsi="Arial" w:cs="Arial"/>
          <w:b/>
          <w:u w:val="single"/>
        </w:rPr>
        <w:t>:</w:t>
      </w:r>
    </w:p>
    <w:p w:rsidR="00414383" w:rsidRDefault="00414383" w:rsidP="00414383">
      <w:pPr>
        <w:rPr>
          <w:rFonts w:ascii="Arial" w:hAnsi="Arial" w:cs="Arial"/>
          <w:sz w:val="28"/>
          <w:szCs w:val="28"/>
        </w:rPr>
      </w:pPr>
    </w:p>
    <w:p w:rsidR="00414383" w:rsidRDefault="00414383" w:rsidP="00414383">
      <w:pPr>
        <w:rPr>
          <w:rFonts w:ascii="Arial" w:hAnsi="Arial" w:cs="Arial"/>
        </w:rPr>
      </w:pPr>
      <w:r>
        <w:rPr>
          <w:rFonts w:ascii="Arial" w:hAnsi="Arial" w:cs="Arial"/>
        </w:rPr>
        <w:t>Please see the attached file for SDG&amp;E.</w:t>
      </w:r>
    </w:p>
    <w:p w:rsidR="00414383" w:rsidRDefault="00414383" w:rsidP="00414383">
      <w:pPr>
        <w:rPr>
          <w:rFonts w:ascii="Arial" w:hAnsi="Arial" w:cs="Arial"/>
        </w:rPr>
      </w:pPr>
    </w:p>
    <w:p w:rsidR="00414383" w:rsidRDefault="00414383" w:rsidP="00414383">
      <w:pPr>
        <w:rPr>
          <w:rFonts w:ascii="Arial" w:hAnsi="Arial" w:cs="Arial"/>
        </w:rPr>
      </w:pPr>
    </w:p>
    <w:p w:rsidR="00414383" w:rsidRDefault="00414383" w:rsidP="00414383">
      <w:pPr>
        <w:jc w:val="center"/>
        <w:rPr>
          <w:rFonts w:ascii="Arial" w:hAnsi="Arial" w:cs="Arial"/>
          <w:sz w:val="28"/>
          <w:szCs w:val="28"/>
        </w:rPr>
      </w:pPr>
      <w:r>
        <w:rPr>
          <w:rFonts w:ascii="Arial" w:hAnsi="Arial" w:cs="Arial"/>
          <w:sz w:val="28"/>
          <w:szCs w:val="28"/>
        </w:rPr>
        <w:object w:dxaOrig="1531" w:dyaOrig="990">
          <v:shape id="_x0000_i1044" type="#_x0000_t75" style="width:76.4pt;height:49.45pt" o:ole="">
            <v:imagedata r:id="rId62" o:title=""/>
          </v:shape>
          <o:OLEObject Type="Embed" ProgID="Excel.Sheet.8" ShapeID="_x0000_i1044" DrawAspect="Icon" ObjectID="_1519128199" r:id="rId63"/>
        </w:object>
      </w:r>
    </w:p>
    <w:p w:rsidR="00414383" w:rsidRDefault="00414383" w:rsidP="00414383">
      <w:pPr>
        <w:rPr>
          <w:rFonts w:ascii="Arial" w:hAnsi="Arial" w:cs="Arial"/>
          <w:sz w:val="28"/>
          <w:szCs w:val="28"/>
        </w:rPr>
      </w:pPr>
      <w:r>
        <w:rPr>
          <w:rFonts w:ascii="Arial" w:hAnsi="Arial" w:cs="Arial"/>
          <w:sz w:val="28"/>
          <w:szCs w:val="28"/>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43</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all information in the possession of the Sempra utilities relating gas usage by customers of SDG&amp;E to any of the following characteristics:  dwelling type, dwelling size, household size, or income.</w:t>
      </w:r>
    </w:p>
    <w:p w:rsidR="00414383" w:rsidRDefault="00414383" w:rsidP="00414383">
      <w:pPr>
        <w:rPr>
          <w:rFonts w:ascii="Arial" w:hAnsi="Arial" w:cs="Arial"/>
          <w:b/>
          <w:u w:val="single"/>
        </w:rPr>
      </w:pPr>
    </w:p>
    <w:p w:rsidR="00414383" w:rsidRPr="00F759E8"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43</w:t>
      </w:r>
      <w:r w:rsidRPr="00F759E8">
        <w:rPr>
          <w:rFonts w:ascii="Arial" w:hAnsi="Arial" w:cs="Arial"/>
          <w:b/>
          <w:u w:val="single"/>
        </w:rPr>
        <w:t>:</w:t>
      </w:r>
    </w:p>
    <w:p w:rsidR="00414383" w:rsidRDefault="00414383" w:rsidP="00414383">
      <w:pPr>
        <w:rPr>
          <w:rFonts w:ascii="Arial" w:hAnsi="Arial" w:cs="Arial"/>
          <w:sz w:val="28"/>
          <w:szCs w:val="28"/>
        </w:rPr>
      </w:pPr>
    </w:p>
    <w:p w:rsidR="00414383" w:rsidRDefault="00414383" w:rsidP="00414383">
      <w:pPr>
        <w:rPr>
          <w:rFonts w:ascii="Arial" w:hAnsi="Arial" w:cs="Arial"/>
          <w:szCs w:val="28"/>
        </w:rPr>
      </w:pPr>
      <w:r w:rsidRPr="00682093">
        <w:rPr>
          <w:rFonts w:ascii="Arial" w:hAnsi="Arial" w:cs="Arial"/>
          <w:szCs w:val="28"/>
        </w:rPr>
        <w:t xml:space="preserve">Please see the file attached in </w:t>
      </w:r>
      <w:r>
        <w:rPr>
          <w:rFonts w:ascii="Arial" w:hAnsi="Arial" w:cs="Arial"/>
          <w:szCs w:val="28"/>
        </w:rPr>
        <w:t>response to Q</w:t>
      </w:r>
      <w:r w:rsidRPr="00682093">
        <w:rPr>
          <w:rFonts w:ascii="Arial" w:hAnsi="Arial" w:cs="Arial"/>
          <w:szCs w:val="28"/>
        </w:rPr>
        <w:t xml:space="preserve">uestion </w:t>
      </w:r>
      <w:r>
        <w:rPr>
          <w:rFonts w:ascii="Arial" w:hAnsi="Arial" w:cs="Arial"/>
          <w:szCs w:val="28"/>
        </w:rPr>
        <w:t>42</w:t>
      </w:r>
      <w:r w:rsidRPr="00682093">
        <w:rPr>
          <w:rFonts w:ascii="Arial" w:hAnsi="Arial" w:cs="Arial"/>
          <w:szCs w:val="28"/>
        </w:rPr>
        <w:t>.</w:t>
      </w:r>
    </w:p>
    <w:p w:rsidR="00414383" w:rsidRDefault="00414383" w:rsidP="00414383">
      <w:pPr>
        <w:rPr>
          <w:rFonts w:ascii="Arial" w:hAnsi="Arial" w:cs="Arial"/>
          <w:sz w:val="28"/>
          <w:szCs w:val="28"/>
        </w:rPr>
      </w:pPr>
    </w:p>
    <w:p w:rsidR="00414383" w:rsidRDefault="00414383" w:rsidP="00414383">
      <w:pPr>
        <w:rPr>
          <w:rFonts w:ascii="Arial" w:hAnsi="Arial" w:cs="Arial"/>
          <w:sz w:val="28"/>
          <w:szCs w:val="28"/>
        </w:rPr>
      </w:pPr>
      <w:r>
        <w:rPr>
          <w:rFonts w:ascii="Arial" w:hAnsi="Arial" w:cs="Arial"/>
          <w:sz w:val="28"/>
          <w:szCs w:val="28"/>
        </w:rPr>
        <w:br w:type="page"/>
      </w:r>
    </w:p>
    <w:p w:rsidR="00414383" w:rsidRDefault="00414383" w:rsidP="00414383">
      <w:pPr>
        <w:rPr>
          <w:rFonts w:ascii="Arial" w:hAnsi="Arial" w:cs="Arial"/>
          <w:b/>
          <w:u w:val="single"/>
        </w:rPr>
      </w:pPr>
    </w:p>
    <w:p w:rsidR="00414383" w:rsidRDefault="00414383" w:rsidP="00414383">
      <w:pPr>
        <w:rPr>
          <w:rFonts w:ascii="Arial" w:hAnsi="Arial" w:cs="Arial"/>
          <w:b/>
          <w:u w:val="single"/>
        </w:rPr>
      </w:pPr>
    </w:p>
    <w:p w:rsidR="00414383" w:rsidRPr="0031141C" w:rsidRDefault="00414383" w:rsidP="00414383">
      <w:pPr>
        <w:rPr>
          <w:rFonts w:ascii="Arial" w:hAnsi="Arial" w:cs="Arial"/>
        </w:rPr>
      </w:pPr>
      <w:r w:rsidRPr="00F759E8">
        <w:rPr>
          <w:rFonts w:ascii="Arial" w:hAnsi="Arial" w:cs="Arial"/>
          <w:b/>
          <w:u w:val="single"/>
        </w:rPr>
        <w:t xml:space="preserve">QUESTION </w:t>
      </w:r>
      <w:r>
        <w:rPr>
          <w:rFonts w:ascii="Arial" w:hAnsi="Arial" w:cs="Arial"/>
          <w:b/>
          <w:u w:val="single"/>
        </w:rPr>
        <w:t>44</w:t>
      </w:r>
      <w:r w:rsidRPr="00F759E8">
        <w:rPr>
          <w:rFonts w:ascii="Arial" w:hAnsi="Arial" w:cs="Arial"/>
          <w:b/>
          <w:u w:val="single"/>
        </w:rPr>
        <w:t>:</w:t>
      </w:r>
    </w:p>
    <w:p w:rsidR="00414383" w:rsidRPr="0031141C" w:rsidRDefault="00414383" w:rsidP="00414383">
      <w:pPr>
        <w:rPr>
          <w:rFonts w:ascii="Arial" w:hAnsi="Arial" w:cs="Arial"/>
        </w:rPr>
      </w:pPr>
    </w:p>
    <w:p w:rsidR="00414383" w:rsidRPr="00A5194E" w:rsidRDefault="00414383" w:rsidP="00414383">
      <w:pPr>
        <w:pStyle w:val="ListParagraph"/>
        <w:spacing w:before="0" w:beforeAutospacing="0" w:after="240" w:afterAutospacing="0"/>
        <w:rPr>
          <w:rFonts w:ascii="Arial" w:hAnsi="Arial" w:cs="Arial"/>
        </w:rPr>
      </w:pPr>
      <w:r w:rsidRPr="00A5194E">
        <w:rPr>
          <w:rFonts w:ascii="Arial" w:hAnsi="Arial" w:cs="Arial"/>
        </w:rPr>
        <w:t>Please provide all information in the possession of the Sempra utilities relating saturation of different types of gas appliances by customers of SDG&amp;E to any of the following characteristics:  dwelling type, dwelling size, household size, or income.</w:t>
      </w:r>
    </w:p>
    <w:p w:rsidR="00414383" w:rsidRDefault="00414383" w:rsidP="00414383">
      <w:pPr>
        <w:rPr>
          <w:rFonts w:ascii="Arial" w:hAnsi="Arial" w:cs="Arial"/>
          <w:b/>
          <w:u w:val="single"/>
        </w:rPr>
      </w:pPr>
    </w:p>
    <w:p w:rsidR="00414383" w:rsidRDefault="00414383" w:rsidP="00414383">
      <w:pPr>
        <w:rPr>
          <w:rFonts w:ascii="Arial" w:hAnsi="Arial" w:cs="Arial"/>
          <w:b/>
          <w:u w:val="single"/>
        </w:rPr>
      </w:pPr>
      <w:r w:rsidRPr="00F759E8">
        <w:rPr>
          <w:rFonts w:ascii="Arial" w:hAnsi="Arial" w:cs="Arial"/>
          <w:b/>
          <w:u w:val="single"/>
        </w:rPr>
        <w:t xml:space="preserve">RESPONSE </w:t>
      </w:r>
      <w:r>
        <w:rPr>
          <w:rFonts w:ascii="Arial" w:hAnsi="Arial" w:cs="Arial"/>
          <w:b/>
          <w:u w:val="single"/>
        </w:rPr>
        <w:t>44</w:t>
      </w:r>
      <w:r w:rsidRPr="00F759E8">
        <w:rPr>
          <w:rFonts w:ascii="Arial" w:hAnsi="Arial" w:cs="Arial"/>
          <w:b/>
          <w:u w:val="single"/>
        </w:rPr>
        <w:t>:</w:t>
      </w:r>
    </w:p>
    <w:p w:rsidR="00434EE7" w:rsidRDefault="00434EE7" w:rsidP="00434EE7">
      <w:pPr>
        <w:rPr>
          <w:rFonts w:ascii="Arial" w:hAnsi="Arial" w:cs="Arial"/>
          <w:szCs w:val="28"/>
        </w:rPr>
      </w:pPr>
      <w:r w:rsidRPr="00682093">
        <w:rPr>
          <w:rFonts w:ascii="Arial" w:hAnsi="Arial" w:cs="Arial"/>
          <w:szCs w:val="28"/>
        </w:rPr>
        <w:t xml:space="preserve">Please see the file attached in </w:t>
      </w:r>
      <w:r>
        <w:rPr>
          <w:rFonts w:ascii="Arial" w:hAnsi="Arial" w:cs="Arial"/>
          <w:szCs w:val="28"/>
        </w:rPr>
        <w:t>response to Q</w:t>
      </w:r>
      <w:r w:rsidRPr="00682093">
        <w:rPr>
          <w:rFonts w:ascii="Arial" w:hAnsi="Arial" w:cs="Arial"/>
          <w:szCs w:val="28"/>
        </w:rPr>
        <w:t xml:space="preserve">uestion </w:t>
      </w:r>
      <w:r>
        <w:rPr>
          <w:rFonts w:ascii="Arial" w:hAnsi="Arial" w:cs="Arial"/>
          <w:szCs w:val="28"/>
        </w:rPr>
        <w:t>42</w:t>
      </w:r>
      <w:r w:rsidRPr="00682093">
        <w:rPr>
          <w:rFonts w:ascii="Arial" w:hAnsi="Arial" w:cs="Arial"/>
          <w:szCs w:val="28"/>
        </w:rPr>
        <w:t>.</w:t>
      </w:r>
    </w:p>
    <w:p w:rsidR="00434EE7" w:rsidRDefault="00434EE7" w:rsidP="00434EE7">
      <w:pPr>
        <w:rPr>
          <w:rFonts w:ascii="Arial" w:hAnsi="Arial" w:cs="Arial"/>
          <w:sz w:val="28"/>
          <w:szCs w:val="28"/>
        </w:rPr>
      </w:pPr>
    </w:p>
    <w:p w:rsidR="00434EE7" w:rsidRDefault="00434EE7" w:rsidP="00434EE7">
      <w:pPr>
        <w:rPr>
          <w:rFonts w:ascii="Arial" w:hAnsi="Arial" w:cs="Arial"/>
          <w:szCs w:val="28"/>
        </w:rPr>
      </w:pPr>
      <w:r>
        <w:rPr>
          <w:rFonts w:ascii="Arial" w:hAnsi="Arial" w:cs="Arial"/>
          <w:szCs w:val="28"/>
        </w:rPr>
        <w:t>Please note that “weight” is the number of customers represented by the particular survey respondent. “</w:t>
      </w:r>
      <w:proofErr w:type="gramStart"/>
      <w:r>
        <w:rPr>
          <w:rFonts w:ascii="Arial" w:hAnsi="Arial" w:cs="Arial"/>
          <w:szCs w:val="28"/>
        </w:rPr>
        <w:t>people</w:t>
      </w:r>
      <w:proofErr w:type="gramEnd"/>
      <w:r>
        <w:rPr>
          <w:rFonts w:ascii="Arial" w:hAnsi="Arial" w:cs="Arial"/>
          <w:szCs w:val="28"/>
        </w:rPr>
        <w:t xml:space="preserve">” is the number of individuals in the household (i.e. household size). </w:t>
      </w:r>
    </w:p>
    <w:p w:rsidR="00434EE7" w:rsidRDefault="00434EE7" w:rsidP="00434EE7">
      <w:pPr>
        <w:rPr>
          <w:rFonts w:ascii="Arial" w:hAnsi="Arial" w:cs="Arial"/>
          <w:szCs w:val="28"/>
        </w:rPr>
      </w:pPr>
    </w:p>
    <w:p w:rsidR="00434EE7" w:rsidRDefault="00434EE7" w:rsidP="00434EE7">
      <w:pPr>
        <w:rPr>
          <w:rFonts w:ascii="Arial" w:hAnsi="Arial" w:cs="Arial"/>
          <w:szCs w:val="28"/>
        </w:rPr>
      </w:pPr>
      <w:r>
        <w:rPr>
          <w:rFonts w:ascii="Arial" w:hAnsi="Arial" w:cs="Arial"/>
          <w:szCs w:val="28"/>
        </w:rPr>
        <w:t xml:space="preserve">The “climate zone” corresponds to SDG&amp;E’s climate zones/temperature zones. For more detail, please see page 90 of the </w:t>
      </w:r>
      <w:proofErr w:type="spellStart"/>
      <w:r w:rsidRPr="00502AE1">
        <w:rPr>
          <w:rFonts w:ascii="Arial" w:hAnsi="Arial" w:cs="Arial"/>
          <w:szCs w:val="28"/>
        </w:rPr>
        <w:t>Workpapers</w:t>
      </w:r>
      <w:proofErr w:type="spellEnd"/>
      <w:r w:rsidRPr="00502AE1">
        <w:rPr>
          <w:rFonts w:ascii="Arial" w:hAnsi="Arial" w:cs="Arial"/>
          <w:szCs w:val="28"/>
        </w:rPr>
        <w:t xml:space="preserve"> to the Prepared Direct Testimony of Gregory Teplow</w:t>
      </w:r>
      <w:r>
        <w:rPr>
          <w:rFonts w:ascii="Arial" w:hAnsi="Arial" w:cs="Arial"/>
          <w:szCs w:val="28"/>
        </w:rPr>
        <w:t xml:space="preserve"> for this TCAP as well as the below table.</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580"/>
      </w:tblGrid>
      <w:tr w:rsidR="00434EE7" w:rsidRPr="00FF49D0" w:rsidTr="00543CC4">
        <w:tc>
          <w:tcPr>
            <w:tcW w:w="135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Coastal</w:t>
            </w:r>
          </w:p>
        </w:tc>
        <w:tc>
          <w:tcPr>
            <w:tcW w:w="558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Lindberg Field</w:t>
            </w:r>
          </w:p>
        </w:tc>
      </w:tr>
      <w:tr w:rsidR="00434EE7" w:rsidRPr="00FF49D0" w:rsidTr="00543CC4">
        <w:tc>
          <w:tcPr>
            <w:tcW w:w="135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Maritime</w:t>
            </w:r>
          </w:p>
        </w:tc>
        <w:tc>
          <w:tcPr>
            <w:tcW w:w="558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Miramar Naval Station</w:t>
            </w:r>
          </w:p>
        </w:tc>
      </w:tr>
      <w:tr w:rsidR="00434EE7" w:rsidRPr="00FF49D0" w:rsidTr="00543CC4">
        <w:tc>
          <w:tcPr>
            <w:tcW w:w="135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Transition</w:t>
            </w:r>
          </w:p>
        </w:tc>
        <w:tc>
          <w:tcPr>
            <w:tcW w:w="5580" w:type="dxa"/>
            <w:shd w:val="clear" w:color="auto" w:fill="auto"/>
          </w:tcPr>
          <w:p w:rsidR="00434EE7" w:rsidRPr="00FF49D0" w:rsidRDefault="00434EE7" w:rsidP="00543CC4">
            <w:pPr>
              <w:rPr>
                <w:rFonts w:ascii="Arial" w:hAnsi="Arial" w:cs="Arial"/>
                <w:szCs w:val="28"/>
              </w:rPr>
            </w:pPr>
            <w:r w:rsidRPr="00FF49D0">
              <w:rPr>
                <w:rFonts w:ascii="Arial" w:hAnsi="Arial" w:cs="Arial"/>
                <w:szCs w:val="28"/>
              </w:rPr>
              <w:t>El Cajon</w:t>
            </w:r>
          </w:p>
        </w:tc>
      </w:tr>
    </w:tbl>
    <w:p w:rsidR="00434EE7" w:rsidRDefault="00434EE7" w:rsidP="00434EE7">
      <w:pPr>
        <w:rPr>
          <w:rFonts w:ascii="Arial" w:hAnsi="Arial" w:cs="Arial"/>
          <w:szCs w:val="28"/>
        </w:rPr>
      </w:pPr>
    </w:p>
    <w:p w:rsidR="00434EE7" w:rsidRDefault="00434EE7" w:rsidP="00434EE7">
      <w:pPr>
        <w:rPr>
          <w:rFonts w:ascii="Arial" w:hAnsi="Arial" w:cs="Arial"/>
          <w:szCs w:val="28"/>
        </w:rPr>
      </w:pPr>
      <w:r>
        <w:rPr>
          <w:rFonts w:ascii="Arial" w:hAnsi="Arial" w:cs="Arial"/>
          <w:szCs w:val="28"/>
        </w:rPr>
        <w:t>Dwelling Types are as below:</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580"/>
      </w:tblGrid>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1</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 xml:space="preserve"> Single-Family Detached House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2</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Townhouse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3</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2-4 Unit Apartment/Condominium</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4</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5+ Unit Apartment/Condominium</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5</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Mobile Home</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6</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Other</w:t>
            </w:r>
          </w:p>
        </w:tc>
      </w:tr>
      <w:tr w:rsidR="00434EE7" w:rsidRPr="00FF49D0" w:rsidTr="00543CC4">
        <w:tc>
          <w:tcPr>
            <w:tcW w:w="135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97</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No Response/Missing Data</w:t>
            </w:r>
          </w:p>
        </w:tc>
      </w:tr>
    </w:tbl>
    <w:p w:rsidR="00434EE7" w:rsidRDefault="00434EE7" w:rsidP="00434EE7">
      <w:pPr>
        <w:rPr>
          <w:rFonts w:ascii="Arial" w:hAnsi="Arial" w:cs="Arial"/>
          <w:szCs w:val="28"/>
        </w:rPr>
      </w:pPr>
    </w:p>
    <w:p w:rsidR="00434EE7" w:rsidRDefault="00434EE7" w:rsidP="00434EE7">
      <w:pPr>
        <w:rPr>
          <w:rFonts w:ascii="Arial" w:hAnsi="Arial" w:cs="Arial"/>
          <w:szCs w:val="28"/>
        </w:rPr>
      </w:pPr>
      <w:r>
        <w:rPr>
          <w:rFonts w:ascii="Arial" w:hAnsi="Arial" w:cs="Arial"/>
          <w:szCs w:val="28"/>
        </w:rPr>
        <w:t>End-use data indicate whether the respondent possesses a gas appliance of that type. The types of appliances in the data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580"/>
      </w:tblGrid>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g_sh</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Space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g_wh</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Water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g_ck</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Cooking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g_dry</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Drying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gas_pool</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Pool Heating</w:t>
            </w:r>
          </w:p>
        </w:tc>
      </w:tr>
      <w:tr w:rsidR="00434EE7" w:rsidRPr="00FF49D0" w:rsidTr="00543CC4">
        <w:trPr>
          <w:jc w:val="center"/>
        </w:trPr>
        <w:tc>
          <w:tcPr>
            <w:tcW w:w="1368"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w:t>
            </w:r>
            <w:proofErr w:type="spellStart"/>
            <w:r w:rsidRPr="00FF49D0">
              <w:rPr>
                <w:rFonts w:ascii="Arial" w:hAnsi="Arial" w:cs="Arial"/>
                <w:sz w:val="20"/>
                <w:szCs w:val="28"/>
              </w:rPr>
              <w:t>gas_spa</w:t>
            </w:r>
            <w:proofErr w:type="spellEnd"/>
            <w:r w:rsidRPr="00FF49D0">
              <w:rPr>
                <w:rFonts w:ascii="Arial" w:hAnsi="Arial" w:cs="Arial"/>
                <w:sz w:val="20"/>
                <w:szCs w:val="28"/>
              </w:rPr>
              <w:t>”</w:t>
            </w:r>
          </w:p>
        </w:tc>
        <w:tc>
          <w:tcPr>
            <w:tcW w:w="5580" w:type="dxa"/>
            <w:shd w:val="clear" w:color="auto" w:fill="auto"/>
          </w:tcPr>
          <w:p w:rsidR="00434EE7" w:rsidRPr="00FF49D0" w:rsidRDefault="00434EE7" w:rsidP="00543CC4">
            <w:pPr>
              <w:rPr>
                <w:rFonts w:ascii="Arial" w:hAnsi="Arial" w:cs="Arial"/>
                <w:sz w:val="20"/>
                <w:szCs w:val="28"/>
              </w:rPr>
            </w:pPr>
            <w:r w:rsidRPr="00FF49D0">
              <w:rPr>
                <w:rFonts w:ascii="Arial" w:hAnsi="Arial" w:cs="Arial"/>
                <w:sz w:val="20"/>
                <w:szCs w:val="28"/>
              </w:rPr>
              <w:t>Gas Spa Heating</w:t>
            </w:r>
          </w:p>
        </w:tc>
      </w:tr>
    </w:tbl>
    <w:p w:rsidR="00434EE7" w:rsidRDefault="00434EE7" w:rsidP="00434EE7">
      <w:pPr>
        <w:rPr>
          <w:rFonts w:ascii="Arial" w:hAnsi="Arial" w:cs="Arial"/>
          <w:sz w:val="28"/>
          <w:szCs w:val="28"/>
        </w:rPr>
      </w:pPr>
    </w:p>
    <w:p w:rsidR="008C558B" w:rsidRPr="00414383" w:rsidRDefault="00434EE7" w:rsidP="00434EE7">
      <w:pPr>
        <w:rPr>
          <w:rFonts w:ascii="Arial" w:hAnsi="Arial" w:cs="Arial"/>
          <w:szCs w:val="28"/>
        </w:rPr>
      </w:pPr>
      <w:r w:rsidRPr="00502AE1">
        <w:rPr>
          <w:rFonts w:ascii="Arial" w:hAnsi="Arial" w:cs="Arial"/>
          <w:szCs w:val="28"/>
        </w:rPr>
        <w:t>Saturation</w:t>
      </w:r>
      <w:r>
        <w:rPr>
          <w:rFonts w:ascii="Arial" w:hAnsi="Arial" w:cs="Arial"/>
          <w:szCs w:val="28"/>
        </w:rPr>
        <w:t>s can be calculated for any desired combination of survey characteristics by dividing the sum of the end-use indicators by the total number of respondents with the desired combination of characteristics.</w:t>
      </w:r>
    </w:p>
    <w:sectPr w:rsidR="008C558B" w:rsidRPr="00414383" w:rsidSect="002E51D9">
      <w:headerReference w:type="default" r:id="rId64"/>
      <w:footerReference w:type="default" r:id="rId65"/>
      <w:pgSz w:w="12240" w:h="15840" w:code="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CA" w:rsidRDefault="003E11CA">
      <w:r>
        <w:separator/>
      </w:r>
    </w:p>
  </w:endnote>
  <w:endnote w:type="continuationSeparator" w:id="0">
    <w:p w:rsidR="003E11CA" w:rsidRDefault="003E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1CA" w:rsidRPr="00E86619" w:rsidRDefault="003E11C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553A2C">
      <w:rPr>
        <w:rStyle w:val="PageNumber"/>
        <w:rFonts w:ascii="Arial" w:hAnsi="Arial" w:cs="Arial"/>
        <w:noProof/>
      </w:rPr>
      <w:t>56</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CA" w:rsidRDefault="003E11CA">
      <w:r>
        <w:separator/>
      </w:r>
    </w:p>
  </w:footnote>
  <w:footnote w:type="continuationSeparator" w:id="0">
    <w:p w:rsidR="003E11CA" w:rsidRDefault="003E11CA">
      <w:r>
        <w:continuationSeparator/>
      </w:r>
    </w:p>
  </w:footnote>
  <w:footnote w:id="1">
    <w:p w:rsidR="003E11CA" w:rsidRPr="00E239F6" w:rsidRDefault="003E11CA" w:rsidP="00414383">
      <w:pPr>
        <w:pStyle w:val="FootnoteText"/>
        <w:rPr>
          <w:rFonts w:ascii="Arial" w:hAnsi="Arial" w:cs="Arial"/>
          <w:sz w:val="18"/>
          <w:szCs w:val="18"/>
        </w:rPr>
      </w:pPr>
      <w:r w:rsidRPr="00E239F6">
        <w:rPr>
          <w:rStyle w:val="FootnoteReference"/>
          <w:rFonts w:ascii="Arial" w:hAnsi="Arial" w:cs="Arial"/>
          <w:sz w:val="18"/>
          <w:szCs w:val="18"/>
        </w:rPr>
        <w:footnoteRef/>
      </w:r>
      <w:r w:rsidRPr="00E239F6">
        <w:rPr>
          <w:rFonts w:ascii="Arial" w:hAnsi="Arial" w:cs="Arial"/>
          <w:sz w:val="18"/>
          <w:szCs w:val="18"/>
        </w:rPr>
        <w:t xml:space="preserve"> </w:t>
      </w:r>
      <w:proofErr w:type="gramStart"/>
      <w:r w:rsidRPr="00E239F6">
        <w:rPr>
          <w:rFonts w:ascii="Arial" w:hAnsi="Arial" w:cs="Arial"/>
          <w:sz w:val="18"/>
          <w:szCs w:val="18"/>
        </w:rPr>
        <w:t xml:space="preserve">A.14-12-017 </w:t>
      </w:r>
      <w:r>
        <w:rPr>
          <w:rFonts w:ascii="Arial" w:hAnsi="Arial" w:cs="Arial"/>
          <w:sz w:val="18"/>
          <w:szCs w:val="18"/>
        </w:rPr>
        <w:t xml:space="preserve">SoCalGas’ </w:t>
      </w:r>
      <w:r w:rsidRPr="00E239F6">
        <w:rPr>
          <w:rFonts w:ascii="Arial" w:hAnsi="Arial" w:cs="Arial"/>
          <w:sz w:val="18"/>
          <w:szCs w:val="18"/>
        </w:rPr>
        <w:t>Response to Ruling Requesting Information (RRI)</w:t>
      </w:r>
      <w:r>
        <w:rPr>
          <w:rFonts w:ascii="Arial" w:hAnsi="Arial" w:cs="Arial"/>
          <w:sz w:val="18"/>
          <w:szCs w:val="18"/>
        </w:rPr>
        <w:t>, 4/3/15, at 8, 2</w:t>
      </w:r>
      <w:r w:rsidRPr="00E239F6">
        <w:rPr>
          <w:rFonts w:ascii="Arial" w:hAnsi="Arial" w:cs="Arial"/>
          <w:sz w:val="18"/>
          <w:szCs w:val="18"/>
          <w:vertAlign w:val="superscript"/>
        </w:rPr>
        <w:t>nd</w:t>
      </w:r>
      <w:r>
        <w:rPr>
          <w:rFonts w:ascii="Arial" w:hAnsi="Arial" w:cs="Arial"/>
          <w:sz w:val="18"/>
          <w:szCs w:val="18"/>
        </w:rPr>
        <w:t xml:space="preserve"> paragraph.</w:t>
      </w:r>
      <w:proofErr w:type="gramEnd"/>
    </w:p>
  </w:footnote>
  <w:footnote w:id="2">
    <w:p w:rsidR="003E11CA" w:rsidRDefault="003E11CA" w:rsidP="00414383">
      <w:pPr>
        <w:pStyle w:val="FootnoteText"/>
      </w:pPr>
      <w:r>
        <w:rPr>
          <w:rStyle w:val="FootnoteReference"/>
        </w:rPr>
        <w:footnoteRef/>
      </w:r>
      <w:r>
        <w:t xml:space="preserve"> </w:t>
      </w:r>
      <w:proofErr w:type="gramStart"/>
      <w:r w:rsidRPr="00C45605">
        <w:rPr>
          <w:rFonts w:ascii="Arial" w:hAnsi="Arial" w:cs="Arial"/>
          <w:i/>
        </w:rPr>
        <w:t>Id</w:t>
      </w:r>
      <w:r w:rsidR="00C45605" w:rsidRPr="00C45605">
        <w:rPr>
          <w:rFonts w:ascii="Arial" w:hAnsi="Arial" w:cs="Arial"/>
          <w:i/>
        </w:rPr>
        <w:t>.</w:t>
      </w:r>
      <w:r>
        <w:rPr>
          <w:rFonts w:ascii="Arial" w:hAnsi="Arial" w:cs="Arial"/>
        </w:rPr>
        <w:t xml:space="preserve"> at 9, last paragraph.</w:t>
      </w:r>
      <w:proofErr w:type="gramEnd"/>
    </w:p>
  </w:footnote>
  <w:footnote w:id="3">
    <w:p w:rsidR="003E11CA" w:rsidRDefault="003E11CA" w:rsidP="00414383">
      <w:r>
        <w:rPr>
          <w:rStyle w:val="FootnoteReference"/>
        </w:rPr>
        <w:footnoteRef/>
      </w:r>
      <w:r>
        <w:t xml:space="preserve"> </w:t>
      </w:r>
      <w:hyperlink r:id="rId1" w:history="1">
        <w:r>
          <w:rPr>
            <w:rStyle w:val="Hyperlink"/>
          </w:rPr>
          <w:t>http://www.journalofaccountancy.com/issues/2001/dec/accountingforassetretirementobligations.html</w:t>
        </w:r>
      </w:hyperlink>
    </w:p>
    <w:p w:rsidR="003E11CA" w:rsidRDefault="003E11CA" w:rsidP="0041438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1CA" w:rsidRPr="00267335" w:rsidRDefault="003E11CA" w:rsidP="00267335">
    <w:pPr>
      <w:autoSpaceDE w:val="0"/>
      <w:autoSpaceDN w:val="0"/>
      <w:adjustRightInd w:val="0"/>
      <w:jc w:val="center"/>
      <w:rPr>
        <w:rFonts w:ascii="Arial" w:hAnsi="Arial" w:cs="Arial"/>
        <w:b/>
      </w:rPr>
    </w:pPr>
    <w:r w:rsidRPr="00267335">
      <w:rPr>
        <w:rFonts w:ascii="Arial" w:hAnsi="Arial" w:cs="Arial"/>
        <w:b/>
      </w:rPr>
      <w:t>APPLICATION OF SOUTHERN CALIFORNIA GAS COMPANY</w:t>
    </w:r>
  </w:p>
  <w:p w:rsidR="003E11CA" w:rsidRPr="00267335" w:rsidRDefault="003E11CA" w:rsidP="00267335">
    <w:pPr>
      <w:autoSpaceDE w:val="0"/>
      <w:autoSpaceDN w:val="0"/>
      <w:adjustRightInd w:val="0"/>
      <w:jc w:val="center"/>
      <w:rPr>
        <w:rFonts w:ascii="Arial" w:hAnsi="Arial" w:cs="Arial"/>
        <w:b/>
      </w:rPr>
    </w:pPr>
    <w:r w:rsidRPr="00267335">
      <w:rPr>
        <w:rFonts w:ascii="Arial" w:hAnsi="Arial" w:cs="Arial"/>
        <w:b/>
      </w:rPr>
      <w:t>AND SAN DIEGO GAS &amp; ELECTRIC COMPANY</w:t>
    </w:r>
  </w:p>
  <w:p w:rsidR="003E11CA" w:rsidRDefault="003E11CA" w:rsidP="00267335">
    <w:pPr>
      <w:autoSpaceDE w:val="0"/>
      <w:autoSpaceDN w:val="0"/>
      <w:adjustRightInd w:val="0"/>
      <w:jc w:val="center"/>
      <w:rPr>
        <w:rFonts w:ascii="Arial" w:hAnsi="Arial" w:cs="Arial"/>
        <w:b/>
      </w:rPr>
    </w:pPr>
    <w:r w:rsidRPr="00267335">
      <w:rPr>
        <w:rFonts w:ascii="Arial" w:hAnsi="Arial" w:cs="Arial"/>
        <w:b/>
      </w:rPr>
      <w:t>FOR AUTHORITY TO REV</w:t>
    </w:r>
    <w:r>
      <w:rPr>
        <w:rFonts w:ascii="Arial" w:hAnsi="Arial" w:cs="Arial"/>
        <w:b/>
      </w:rPr>
      <w:t>I</w:t>
    </w:r>
    <w:r w:rsidRPr="00267335">
      <w:rPr>
        <w:rFonts w:ascii="Arial" w:hAnsi="Arial" w:cs="Arial"/>
        <w:b/>
      </w:rPr>
      <w:t xml:space="preserve">SE THEIR NATURAL GAS RATES </w:t>
    </w:r>
  </w:p>
  <w:p w:rsidR="003E11CA" w:rsidRDefault="003E11CA" w:rsidP="00267335">
    <w:pPr>
      <w:autoSpaceDE w:val="0"/>
      <w:autoSpaceDN w:val="0"/>
      <w:adjustRightInd w:val="0"/>
      <w:jc w:val="center"/>
      <w:rPr>
        <w:rFonts w:ascii="Arial" w:hAnsi="Arial" w:cs="Arial"/>
        <w:b/>
      </w:rPr>
    </w:pPr>
    <w:r w:rsidRPr="00267335">
      <w:rPr>
        <w:rFonts w:ascii="Arial" w:hAnsi="Arial" w:cs="Arial"/>
        <w:b/>
      </w:rPr>
      <w:t xml:space="preserve">EFFECTIVE JANUARY 1, 2017 IN THEIR </w:t>
    </w:r>
  </w:p>
  <w:p w:rsidR="003E11CA" w:rsidRPr="00267335" w:rsidRDefault="003E11CA" w:rsidP="00267335">
    <w:pPr>
      <w:autoSpaceDE w:val="0"/>
      <w:autoSpaceDN w:val="0"/>
      <w:adjustRightInd w:val="0"/>
      <w:jc w:val="center"/>
      <w:rPr>
        <w:rFonts w:ascii="Arial" w:hAnsi="Arial" w:cs="Arial"/>
        <w:b/>
      </w:rPr>
    </w:pPr>
    <w:r w:rsidRPr="00267335">
      <w:rPr>
        <w:rFonts w:ascii="Arial" w:hAnsi="Arial" w:cs="Arial"/>
        <w:b/>
      </w:rPr>
      <w:t xml:space="preserve">TRIENNIAL COST ALLOCATION PROCEEDING </w:t>
    </w:r>
    <w:r>
      <w:rPr>
        <w:rFonts w:ascii="Arial" w:hAnsi="Arial" w:cs="Arial"/>
        <w:b/>
      </w:rPr>
      <w:t>- PHASE 2</w:t>
    </w:r>
  </w:p>
  <w:p w:rsidR="003E11CA" w:rsidRPr="00445088" w:rsidRDefault="003E11CA" w:rsidP="00663B29">
    <w:pPr>
      <w:jc w:val="center"/>
      <w:rPr>
        <w:rFonts w:ascii="Arial" w:hAnsi="Arial" w:cs="Arial"/>
        <w:b/>
        <w:sz w:val="6"/>
        <w:szCs w:val="6"/>
      </w:rPr>
    </w:pPr>
  </w:p>
  <w:p w:rsidR="003E11CA" w:rsidRPr="00663B29" w:rsidRDefault="003E11CA" w:rsidP="00663B29">
    <w:pPr>
      <w:jc w:val="center"/>
      <w:rPr>
        <w:rFonts w:ascii="Arial" w:hAnsi="Arial" w:cs="Arial"/>
        <w:b/>
        <w:sz w:val="6"/>
        <w:szCs w:val="6"/>
      </w:rPr>
    </w:pPr>
  </w:p>
  <w:p w:rsidR="003E11CA" w:rsidRPr="00663B29" w:rsidRDefault="003E11CA" w:rsidP="00663B29">
    <w:pPr>
      <w:jc w:val="center"/>
      <w:rPr>
        <w:rFonts w:ascii="Arial" w:hAnsi="Arial" w:cs="Arial"/>
        <w:b/>
      </w:rPr>
    </w:pPr>
    <w:r w:rsidRPr="00663B29">
      <w:rPr>
        <w:rFonts w:ascii="Arial" w:hAnsi="Arial" w:cs="Arial"/>
        <w:b/>
      </w:rPr>
      <w:t>(A.1</w:t>
    </w:r>
    <w:r>
      <w:rPr>
        <w:rFonts w:ascii="Arial" w:hAnsi="Arial" w:cs="Arial"/>
        <w:b/>
      </w:rPr>
      <w:t>5</w:t>
    </w:r>
    <w:r w:rsidRPr="00663B29">
      <w:rPr>
        <w:rFonts w:ascii="Arial" w:hAnsi="Arial" w:cs="Arial"/>
        <w:b/>
      </w:rPr>
      <w:t>-</w:t>
    </w:r>
    <w:r>
      <w:rPr>
        <w:rFonts w:ascii="Arial" w:hAnsi="Arial" w:cs="Arial"/>
        <w:b/>
      </w:rPr>
      <w:t>07</w:t>
    </w:r>
    <w:r w:rsidRPr="00663B29">
      <w:rPr>
        <w:rFonts w:ascii="Arial" w:hAnsi="Arial" w:cs="Arial"/>
        <w:b/>
      </w:rPr>
      <w:t>-</w:t>
    </w:r>
    <w:r>
      <w:rPr>
        <w:rFonts w:ascii="Arial" w:hAnsi="Arial" w:cs="Arial"/>
        <w:b/>
      </w:rPr>
      <w:t>014</w:t>
    </w:r>
    <w:r w:rsidRPr="00663B29">
      <w:rPr>
        <w:rFonts w:ascii="Arial" w:hAnsi="Arial" w:cs="Arial"/>
        <w:b/>
      </w:rPr>
      <w:t>)</w:t>
    </w:r>
  </w:p>
  <w:p w:rsidR="003E11CA" w:rsidRDefault="003E11CA" w:rsidP="00F9456E">
    <w:pPr>
      <w:pStyle w:val="Header"/>
      <w:jc w:val="center"/>
      <w:rPr>
        <w:rFonts w:ascii="Arial" w:hAnsi="Arial" w:cs="Arial"/>
        <w:b/>
        <w:sz w:val="8"/>
        <w:szCs w:val="8"/>
      </w:rPr>
    </w:pPr>
  </w:p>
  <w:p w:rsidR="003E11CA" w:rsidRPr="00C178B5" w:rsidRDefault="003E11CA" w:rsidP="00F9456E">
    <w:pPr>
      <w:pStyle w:val="Header"/>
      <w:jc w:val="center"/>
      <w:rPr>
        <w:rFonts w:ascii="Arial" w:hAnsi="Arial" w:cs="Arial"/>
        <w:b/>
        <w:sz w:val="8"/>
        <w:szCs w:val="8"/>
      </w:rPr>
    </w:pPr>
  </w:p>
  <w:p w:rsidR="003E11CA" w:rsidRPr="00CF542E" w:rsidRDefault="003E11CA" w:rsidP="00CF542E">
    <w:pPr>
      <w:jc w:val="center"/>
      <w:rPr>
        <w:rFonts w:ascii="Arial" w:hAnsi="Arial" w:cs="Arial"/>
        <w:b/>
      </w:rPr>
    </w:pPr>
    <w:r w:rsidRPr="00CF542E">
      <w:rPr>
        <w:rFonts w:ascii="Arial" w:hAnsi="Arial" w:cs="Arial"/>
        <w:b/>
      </w:rPr>
      <w:t>(DATA REQUEST TURN-SEU-03)</w:t>
    </w:r>
  </w:p>
  <w:p w:rsidR="003E11CA" w:rsidRDefault="003E11CA" w:rsidP="00F9456E">
    <w:pPr>
      <w:pStyle w:val="Header"/>
      <w:jc w:val="center"/>
      <w:rPr>
        <w:rFonts w:ascii="Arial" w:hAnsi="Arial" w:cs="Arial"/>
        <w:b/>
      </w:rPr>
    </w:pPr>
    <w:r>
      <w:rPr>
        <w:rFonts w:ascii="Arial" w:hAnsi="Arial" w:cs="Arial"/>
        <w:b/>
      </w:rPr>
      <w:t>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1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0863193"/>
    <w:multiLevelType w:val="hybridMultilevel"/>
    <w:tmpl w:val="F82C4DA8"/>
    <w:lvl w:ilvl="0" w:tplc="9E768C4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91822"/>
    <w:multiLevelType w:val="multilevel"/>
    <w:tmpl w:val="167852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rial" w:eastAsia="Times New Roman" w:hAnsi="Arial"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C4744D0"/>
    <w:multiLevelType w:val="hybridMultilevel"/>
    <w:tmpl w:val="6E8E9A34"/>
    <w:lvl w:ilvl="0" w:tplc="5290B69E">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43D2D5C"/>
    <w:multiLevelType w:val="hybridMultilevel"/>
    <w:tmpl w:val="5CA48572"/>
    <w:lvl w:ilvl="0" w:tplc="D4A8C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686F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5270404"/>
    <w:multiLevelType w:val="hybridMultilevel"/>
    <w:tmpl w:val="2592BC06"/>
    <w:lvl w:ilvl="0" w:tplc="765620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0C73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23088B"/>
    <w:multiLevelType w:val="hybridMultilevel"/>
    <w:tmpl w:val="27E87690"/>
    <w:lvl w:ilvl="0" w:tplc="FD22C2EA">
      <w:start w:val="2"/>
      <w:numFmt w:val="lowerRoman"/>
      <w:lvlText w:val="%1)"/>
      <w:lvlJc w:val="left"/>
      <w:pPr>
        <w:ind w:left="1440" w:hanging="72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1E1C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8D53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5E55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F042B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06A58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12311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3A67360"/>
    <w:multiLevelType w:val="hybridMultilevel"/>
    <w:tmpl w:val="74569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8D6451"/>
    <w:multiLevelType w:val="hybridMultilevel"/>
    <w:tmpl w:val="C290A656"/>
    <w:lvl w:ilvl="0" w:tplc="9D6A77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CC1663"/>
    <w:multiLevelType w:val="hybridMultilevel"/>
    <w:tmpl w:val="34D89200"/>
    <w:lvl w:ilvl="0" w:tplc="98B8613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120BB8"/>
    <w:multiLevelType w:val="hybridMultilevel"/>
    <w:tmpl w:val="67082CCA"/>
    <w:lvl w:ilvl="0" w:tplc="D5BABB7E">
      <w:start w:val="1"/>
      <w:numFmt w:val="lowerLetter"/>
      <w:lvlText w:val="%1)"/>
      <w:lvlJc w:val="left"/>
      <w:pPr>
        <w:ind w:left="765" w:hanging="405"/>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2247DB"/>
    <w:multiLevelType w:val="multilevel"/>
    <w:tmpl w:val="EA1CC6FE"/>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3"/>
      <w:numFmt w:val="lowerLetter"/>
      <w:lvlText w:val="%3)"/>
      <w:lvlJc w:val="left"/>
      <w:pPr>
        <w:ind w:left="1080" w:hanging="360"/>
      </w:pPr>
      <w:rPr>
        <w:rFonts w:ascii="Arial" w:eastAsia="Times New Roman" w:hAnsi="Arial" w:cs="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ACB7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F0A1CA5"/>
    <w:multiLevelType w:val="hybridMultilevel"/>
    <w:tmpl w:val="069C0BC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A5431B1"/>
    <w:multiLevelType w:val="hybridMultilevel"/>
    <w:tmpl w:val="15D61654"/>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7A863239"/>
    <w:multiLevelType w:val="multilevel"/>
    <w:tmpl w:val="4F90ADF4"/>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Letter"/>
      <w:lvlText w:val="%3)"/>
      <w:lvlJc w:val="left"/>
      <w:pPr>
        <w:ind w:left="1080" w:hanging="360"/>
      </w:pPr>
      <w:rPr>
        <w:rFonts w:ascii="Arial" w:eastAsia="Times New Roman" w:hAnsi="Arial" w:cs="Arial"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D8653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6"/>
  </w:num>
  <w:num w:numId="3">
    <w:abstractNumId w:val="6"/>
  </w:num>
  <w:num w:numId="4">
    <w:abstractNumId w:val="3"/>
  </w:num>
  <w:num w:numId="5">
    <w:abstractNumId w:val="2"/>
  </w:num>
  <w:num w:numId="6">
    <w:abstractNumId w:val="4"/>
  </w:num>
  <w:num w:numId="7">
    <w:abstractNumId w:val="1"/>
  </w:num>
  <w:num w:numId="8">
    <w:abstractNumId w:val="21"/>
  </w:num>
  <w:num w:numId="9">
    <w:abstractNumId w:val="8"/>
  </w:num>
  <w:num w:numId="10">
    <w:abstractNumId w:val="15"/>
  </w:num>
  <w:num w:numId="11">
    <w:abstractNumId w:val="24"/>
  </w:num>
  <w:num w:numId="12">
    <w:abstractNumId w:val="14"/>
  </w:num>
  <w:num w:numId="13">
    <w:abstractNumId w:val="11"/>
  </w:num>
  <w:num w:numId="14">
    <w:abstractNumId w:val="18"/>
  </w:num>
  <w:num w:numId="15">
    <w:abstractNumId w:val="13"/>
  </w:num>
  <w:num w:numId="16">
    <w:abstractNumId w:val="7"/>
  </w:num>
  <w:num w:numId="17">
    <w:abstractNumId w:val="9"/>
  </w:num>
  <w:num w:numId="18">
    <w:abstractNumId w:val="19"/>
  </w:num>
  <w:num w:numId="19">
    <w:abstractNumId w:val="0"/>
  </w:num>
  <w:num w:numId="20">
    <w:abstractNumId w:val="20"/>
  </w:num>
  <w:num w:numId="21">
    <w:abstractNumId w:val="10"/>
  </w:num>
  <w:num w:numId="22">
    <w:abstractNumId w:val="5"/>
  </w:num>
  <w:num w:numId="23">
    <w:abstractNumId w:val="23"/>
  </w:num>
  <w:num w:numId="24">
    <w:abstractNumId w:val="22"/>
  </w:num>
  <w:num w:numId="2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16B39"/>
    <w:rsid w:val="00026804"/>
    <w:rsid w:val="00027D42"/>
    <w:rsid w:val="000427F1"/>
    <w:rsid w:val="000445AE"/>
    <w:rsid w:val="000446FA"/>
    <w:rsid w:val="00050DEA"/>
    <w:rsid w:val="00054200"/>
    <w:rsid w:val="00062FD1"/>
    <w:rsid w:val="00064921"/>
    <w:rsid w:val="000757EE"/>
    <w:rsid w:val="000778A9"/>
    <w:rsid w:val="00077925"/>
    <w:rsid w:val="000807BB"/>
    <w:rsid w:val="000973D6"/>
    <w:rsid w:val="000A18C2"/>
    <w:rsid w:val="000A4033"/>
    <w:rsid w:val="000B0B0D"/>
    <w:rsid w:val="000B0DDB"/>
    <w:rsid w:val="000B3FF9"/>
    <w:rsid w:val="000C0E9E"/>
    <w:rsid w:val="000D5EF6"/>
    <w:rsid w:val="000E2012"/>
    <w:rsid w:val="000E32F6"/>
    <w:rsid w:val="000E5737"/>
    <w:rsid w:val="000E7F61"/>
    <w:rsid w:val="000F0C29"/>
    <w:rsid w:val="000F55F5"/>
    <w:rsid w:val="00130F5D"/>
    <w:rsid w:val="001517AE"/>
    <w:rsid w:val="00151F80"/>
    <w:rsid w:val="001576BC"/>
    <w:rsid w:val="001612AC"/>
    <w:rsid w:val="001622DB"/>
    <w:rsid w:val="00171E47"/>
    <w:rsid w:val="00171F7F"/>
    <w:rsid w:val="001754B0"/>
    <w:rsid w:val="0017743B"/>
    <w:rsid w:val="001A6D58"/>
    <w:rsid w:val="001A7950"/>
    <w:rsid w:val="001B2C3E"/>
    <w:rsid w:val="001D0397"/>
    <w:rsid w:val="001D4131"/>
    <w:rsid w:val="001D7679"/>
    <w:rsid w:val="001E4A11"/>
    <w:rsid w:val="001E5469"/>
    <w:rsid w:val="001E5C86"/>
    <w:rsid w:val="001F22D6"/>
    <w:rsid w:val="001F2F28"/>
    <w:rsid w:val="002021F9"/>
    <w:rsid w:val="00203730"/>
    <w:rsid w:val="00213E5C"/>
    <w:rsid w:val="00214711"/>
    <w:rsid w:val="00214F6C"/>
    <w:rsid w:val="00215B6F"/>
    <w:rsid w:val="00217318"/>
    <w:rsid w:val="00224F57"/>
    <w:rsid w:val="00233AAB"/>
    <w:rsid w:val="002447CF"/>
    <w:rsid w:val="00267335"/>
    <w:rsid w:val="002749B8"/>
    <w:rsid w:val="002967FC"/>
    <w:rsid w:val="002A3935"/>
    <w:rsid w:val="002B2B09"/>
    <w:rsid w:val="002B7CDB"/>
    <w:rsid w:val="002C2AFC"/>
    <w:rsid w:val="002C432D"/>
    <w:rsid w:val="002D00FA"/>
    <w:rsid w:val="002D7E7D"/>
    <w:rsid w:val="002D7F29"/>
    <w:rsid w:val="002E095B"/>
    <w:rsid w:val="002E51D9"/>
    <w:rsid w:val="002E5951"/>
    <w:rsid w:val="00300C57"/>
    <w:rsid w:val="00304E3F"/>
    <w:rsid w:val="0030783B"/>
    <w:rsid w:val="0031070C"/>
    <w:rsid w:val="0031141C"/>
    <w:rsid w:val="003145C7"/>
    <w:rsid w:val="00315E1A"/>
    <w:rsid w:val="00320A8D"/>
    <w:rsid w:val="00335AB8"/>
    <w:rsid w:val="00337B62"/>
    <w:rsid w:val="003405A5"/>
    <w:rsid w:val="00347ECE"/>
    <w:rsid w:val="00367398"/>
    <w:rsid w:val="00392E1C"/>
    <w:rsid w:val="003A32A6"/>
    <w:rsid w:val="003C64AC"/>
    <w:rsid w:val="003E11CA"/>
    <w:rsid w:val="003E7642"/>
    <w:rsid w:val="00402E63"/>
    <w:rsid w:val="00405FCB"/>
    <w:rsid w:val="00414383"/>
    <w:rsid w:val="00430623"/>
    <w:rsid w:val="004330F4"/>
    <w:rsid w:val="00434EE7"/>
    <w:rsid w:val="00442D6C"/>
    <w:rsid w:val="00443AB5"/>
    <w:rsid w:val="00445088"/>
    <w:rsid w:val="0044799D"/>
    <w:rsid w:val="00461FCB"/>
    <w:rsid w:val="004628EB"/>
    <w:rsid w:val="004710C7"/>
    <w:rsid w:val="004977E7"/>
    <w:rsid w:val="004A11B8"/>
    <w:rsid w:val="004A7CB8"/>
    <w:rsid w:val="004B00F4"/>
    <w:rsid w:val="004B1982"/>
    <w:rsid w:val="004B4D71"/>
    <w:rsid w:val="004B507B"/>
    <w:rsid w:val="004B5C49"/>
    <w:rsid w:val="004C0B63"/>
    <w:rsid w:val="004C1D92"/>
    <w:rsid w:val="004C735F"/>
    <w:rsid w:val="004D1DD7"/>
    <w:rsid w:val="004D5089"/>
    <w:rsid w:val="004D7990"/>
    <w:rsid w:val="004E361C"/>
    <w:rsid w:val="004E362D"/>
    <w:rsid w:val="004E625C"/>
    <w:rsid w:val="004F2D37"/>
    <w:rsid w:val="00503D25"/>
    <w:rsid w:val="00507F24"/>
    <w:rsid w:val="005321A1"/>
    <w:rsid w:val="005363F5"/>
    <w:rsid w:val="005476B2"/>
    <w:rsid w:val="00553A2C"/>
    <w:rsid w:val="005757EF"/>
    <w:rsid w:val="00581DF1"/>
    <w:rsid w:val="00582C14"/>
    <w:rsid w:val="00583A2D"/>
    <w:rsid w:val="005840B4"/>
    <w:rsid w:val="00586657"/>
    <w:rsid w:val="005945FF"/>
    <w:rsid w:val="00596EB7"/>
    <w:rsid w:val="005A54EE"/>
    <w:rsid w:val="005B50E4"/>
    <w:rsid w:val="005C428D"/>
    <w:rsid w:val="005C452D"/>
    <w:rsid w:val="005C5391"/>
    <w:rsid w:val="005C5F4B"/>
    <w:rsid w:val="005C6E7A"/>
    <w:rsid w:val="005D273B"/>
    <w:rsid w:val="005F1AAE"/>
    <w:rsid w:val="005F4287"/>
    <w:rsid w:val="006177F4"/>
    <w:rsid w:val="0063481C"/>
    <w:rsid w:val="00636BCF"/>
    <w:rsid w:val="0064053C"/>
    <w:rsid w:val="0065774B"/>
    <w:rsid w:val="00657A12"/>
    <w:rsid w:val="00657ADE"/>
    <w:rsid w:val="0066262C"/>
    <w:rsid w:val="00663B29"/>
    <w:rsid w:val="00670587"/>
    <w:rsid w:val="0067709F"/>
    <w:rsid w:val="00685B80"/>
    <w:rsid w:val="00686DC5"/>
    <w:rsid w:val="00687D80"/>
    <w:rsid w:val="00693014"/>
    <w:rsid w:val="006A2DB5"/>
    <w:rsid w:val="006B0927"/>
    <w:rsid w:val="006B49A6"/>
    <w:rsid w:val="006B5580"/>
    <w:rsid w:val="006D2F9B"/>
    <w:rsid w:val="006E00A2"/>
    <w:rsid w:val="006E6D13"/>
    <w:rsid w:val="007022E5"/>
    <w:rsid w:val="00707577"/>
    <w:rsid w:val="00707EDE"/>
    <w:rsid w:val="00717106"/>
    <w:rsid w:val="00724B83"/>
    <w:rsid w:val="00724C2A"/>
    <w:rsid w:val="00726B5A"/>
    <w:rsid w:val="00742BFE"/>
    <w:rsid w:val="00751C4C"/>
    <w:rsid w:val="007603F9"/>
    <w:rsid w:val="007638A3"/>
    <w:rsid w:val="00764EE6"/>
    <w:rsid w:val="00765B1C"/>
    <w:rsid w:val="007758C7"/>
    <w:rsid w:val="00785E79"/>
    <w:rsid w:val="007929BC"/>
    <w:rsid w:val="00792FC7"/>
    <w:rsid w:val="00794553"/>
    <w:rsid w:val="00797B94"/>
    <w:rsid w:val="007A1B08"/>
    <w:rsid w:val="007B30A2"/>
    <w:rsid w:val="007B59E1"/>
    <w:rsid w:val="007C647B"/>
    <w:rsid w:val="007D0A7E"/>
    <w:rsid w:val="007E1BBA"/>
    <w:rsid w:val="007E7F03"/>
    <w:rsid w:val="0080163C"/>
    <w:rsid w:val="0081001C"/>
    <w:rsid w:val="008166F9"/>
    <w:rsid w:val="00823D98"/>
    <w:rsid w:val="00830F73"/>
    <w:rsid w:val="00846D35"/>
    <w:rsid w:val="00850758"/>
    <w:rsid w:val="00854D38"/>
    <w:rsid w:val="00862118"/>
    <w:rsid w:val="0086297C"/>
    <w:rsid w:val="00874121"/>
    <w:rsid w:val="00883551"/>
    <w:rsid w:val="008A0C1E"/>
    <w:rsid w:val="008A3929"/>
    <w:rsid w:val="008B0407"/>
    <w:rsid w:val="008B29B7"/>
    <w:rsid w:val="008B45FF"/>
    <w:rsid w:val="008C28B6"/>
    <w:rsid w:val="008C558B"/>
    <w:rsid w:val="008F1DD5"/>
    <w:rsid w:val="008F2A13"/>
    <w:rsid w:val="009014E2"/>
    <w:rsid w:val="009040CF"/>
    <w:rsid w:val="00905BEC"/>
    <w:rsid w:val="00907F59"/>
    <w:rsid w:val="009235D8"/>
    <w:rsid w:val="00924832"/>
    <w:rsid w:val="00927C7F"/>
    <w:rsid w:val="009308B2"/>
    <w:rsid w:val="009353A5"/>
    <w:rsid w:val="00940BDC"/>
    <w:rsid w:val="00947DA8"/>
    <w:rsid w:val="00964695"/>
    <w:rsid w:val="009671A6"/>
    <w:rsid w:val="00967F6A"/>
    <w:rsid w:val="00970555"/>
    <w:rsid w:val="009742EE"/>
    <w:rsid w:val="00994689"/>
    <w:rsid w:val="009951BE"/>
    <w:rsid w:val="00996B85"/>
    <w:rsid w:val="009A2613"/>
    <w:rsid w:val="009A2945"/>
    <w:rsid w:val="009B0636"/>
    <w:rsid w:val="009B540D"/>
    <w:rsid w:val="009E04A7"/>
    <w:rsid w:val="009E2A12"/>
    <w:rsid w:val="009E6BC2"/>
    <w:rsid w:val="00A023DA"/>
    <w:rsid w:val="00A17B4A"/>
    <w:rsid w:val="00A21C4E"/>
    <w:rsid w:val="00A33217"/>
    <w:rsid w:val="00A469EF"/>
    <w:rsid w:val="00A540FF"/>
    <w:rsid w:val="00A558C1"/>
    <w:rsid w:val="00A569D3"/>
    <w:rsid w:val="00A56FE0"/>
    <w:rsid w:val="00A63A02"/>
    <w:rsid w:val="00A65A2F"/>
    <w:rsid w:val="00A67A4C"/>
    <w:rsid w:val="00A76001"/>
    <w:rsid w:val="00A84CC5"/>
    <w:rsid w:val="00A85689"/>
    <w:rsid w:val="00A8757F"/>
    <w:rsid w:val="00A928A9"/>
    <w:rsid w:val="00AA7D9B"/>
    <w:rsid w:val="00AB14C0"/>
    <w:rsid w:val="00AC3331"/>
    <w:rsid w:val="00AC79BC"/>
    <w:rsid w:val="00AE603A"/>
    <w:rsid w:val="00AF1AE8"/>
    <w:rsid w:val="00AF1FFF"/>
    <w:rsid w:val="00AF3427"/>
    <w:rsid w:val="00AF70D5"/>
    <w:rsid w:val="00B05282"/>
    <w:rsid w:val="00B1595B"/>
    <w:rsid w:val="00B177D4"/>
    <w:rsid w:val="00B23DF8"/>
    <w:rsid w:val="00B30845"/>
    <w:rsid w:val="00B30C04"/>
    <w:rsid w:val="00B32CAC"/>
    <w:rsid w:val="00B40FAA"/>
    <w:rsid w:val="00B45F5F"/>
    <w:rsid w:val="00B50348"/>
    <w:rsid w:val="00B714F3"/>
    <w:rsid w:val="00B72428"/>
    <w:rsid w:val="00BB2092"/>
    <w:rsid w:val="00BC23DE"/>
    <w:rsid w:val="00BC332F"/>
    <w:rsid w:val="00BC556D"/>
    <w:rsid w:val="00BC60D4"/>
    <w:rsid w:val="00BD1AC1"/>
    <w:rsid w:val="00BD3336"/>
    <w:rsid w:val="00BE54FA"/>
    <w:rsid w:val="00BE6852"/>
    <w:rsid w:val="00C00BF1"/>
    <w:rsid w:val="00C141A5"/>
    <w:rsid w:val="00C15962"/>
    <w:rsid w:val="00C20CFB"/>
    <w:rsid w:val="00C21B65"/>
    <w:rsid w:val="00C23718"/>
    <w:rsid w:val="00C25E3B"/>
    <w:rsid w:val="00C31043"/>
    <w:rsid w:val="00C4302A"/>
    <w:rsid w:val="00C44CE1"/>
    <w:rsid w:val="00C45605"/>
    <w:rsid w:val="00C478AC"/>
    <w:rsid w:val="00C47E4D"/>
    <w:rsid w:val="00C500E1"/>
    <w:rsid w:val="00C50AFA"/>
    <w:rsid w:val="00C553AB"/>
    <w:rsid w:val="00C6106E"/>
    <w:rsid w:val="00C62CAA"/>
    <w:rsid w:val="00C66780"/>
    <w:rsid w:val="00C678A4"/>
    <w:rsid w:val="00C855A8"/>
    <w:rsid w:val="00CB09BD"/>
    <w:rsid w:val="00CB1F14"/>
    <w:rsid w:val="00CB2B75"/>
    <w:rsid w:val="00CB3FD9"/>
    <w:rsid w:val="00CD1FF2"/>
    <w:rsid w:val="00CD2A4C"/>
    <w:rsid w:val="00CD3A2B"/>
    <w:rsid w:val="00CE7FEB"/>
    <w:rsid w:val="00CF542E"/>
    <w:rsid w:val="00CF63C1"/>
    <w:rsid w:val="00D00E73"/>
    <w:rsid w:val="00D0272B"/>
    <w:rsid w:val="00D14DA0"/>
    <w:rsid w:val="00D25297"/>
    <w:rsid w:val="00D27711"/>
    <w:rsid w:val="00D3638B"/>
    <w:rsid w:val="00D42A9F"/>
    <w:rsid w:val="00D45A57"/>
    <w:rsid w:val="00D51BAE"/>
    <w:rsid w:val="00D62B84"/>
    <w:rsid w:val="00D66C29"/>
    <w:rsid w:val="00D80DD1"/>
    <w:rsid w:val="00DB3DF1"/>
    <w:rsid w:val="00DD5B6E"/>
    <w:rsid w:val="00DF2251"/>
    <w:rsid w:val="00E00708"/>
    <w:rsid w:val="00E119CC"/>
    <w:rsid w:val="00E20F09"/>
    <w:rsid w:val="00E25E1B"/>
    <w:rsid w:val="00E42C0C"/>
    <w:rsid w:val="00E44F2B"/>
    <w:rsid w:val="00E46E42"/>
    <w:rsid w:val="00E54E2E"/>
    <w:rsid w:val="00E56F64"/>
    <w:rsid w:val="00E62046"/>
    <w:rsid w:val="00E63318"/>
    <w:rsid w:val="00E66CDF"/>
    <w:rsid w:val="00E6742A"/>
    <w:rsid w:val="00E705AE"/>
    <w:rsid w:val="00E74930"/>
    <w:rsid w:val="00E77426"/>
    <w:rsid w:val="00E802E5"/>
    <w:rsid w:val="00E82FDE"/>
    <w:rsid w:val="00E84D1A"/>
    <w:rsid w:val="00E86619"/>
    <w:rsid w:val="00E9002B"/>
    <w:rsid w:val="00EA0F7A"/>
    <w:rsid w:val="00EC4C69"/>
    <w:rsid w:val="00EC666E"/>
    <w:rsid w:val="00ED0B44"/>
    <w:rsid w:val="00ED0D66"/>
    <w:rsid w:val="00ED26D4"/>
    <w:rsid w:val="00EE2B21"/>
    <w:rsid w:val="00EF0C48"/>
    <w:rsid w:val="00EF407B"/>
    <w:rsid w:val="00F01063"/>
    <w:rsid w:val="00F027CE"/>
    <w:rsid w:val="00F033B8"/>
    <w:rsid w:val="00F06FFC"/>
    <w:rsid w:val="00F16EAF"/>
    <w:rsid w:val="00F3113C"/>
    <w:rsid w:val="00F438E8"/>
    <w:rsid w:val="00F47E8C"/>
    <w:rsid w:val="00F52992"/>
    <w:rsid w:val="00F66FE5"/>
    <w:rsid w:val="00F67377"/>
    <w:rsid w:val="00F759E8"/>
    <w:rsid w:val="00F86603"/>
    <w:rsid w:val="00F90E88"/>
    <w:rsid w:val="00F918F2"/>
    <w:rsid w:val="00F9456E"/>
    <w:rsid w:val="00FA7E66"/>
    <w:rsid w:val="00FB1C4C"/>
    <w:rsid w:val="00FB2385"/>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D9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styleId="ListParagraph">
    <w:name w:val="List Paragraph"/>
    <w:basedOn w:val="Normal"/>
    <w:uiPriority w:val="34"/>
    <w:qFormat/>
    <w:rsid w:val="00CF542E"/>
    <w:pPr>
      <w:spacing w:before="100" w:beforeAutospacing="1" w:after="100" w:afterAutospacing="1"/>
    </w:pPr>
  </w:style>
  <w:style w:type="paragraph" w:styleId="BodyText">
    <w:name w:val="Body Text"/>
    <w:basedOn w:val="Normal"/>
    <w:link w:val="BodyTextChar"/>
    <w:rsid w:val="00CF542E"/>
    <w:pPr>
      <w:spacing w:after="180" w:line="360" w:lineRule="auto"/>
    </w:pPr>
    <w:rPr>
      <w:rFonts w:ascii="Book Antiqua" w:hAnsi="Book Antiqua"/>
      <w:sz w:val="22"/>
      <w:szCs w:val="20"/>
    </w:rPr>
  </w:style>
  <w:style w:type="character" w:customStyle="1" w:styleId="BodyTextChar">
    <w:name w:val="Body Text Char"/>
    <w:basedOn w:val="DefaultParagraphFont"/>
    <w:link w:val="BodyText"/>
    <w:rsid w:val="00CF542E"/>
    <w:rPr>
      <w:rFonts w:ascii="Book Antiqua" w:hAnsi="Book Antiqua"/>
      <w:sz w:val="22"/>
    </w:rPr>
  </w:style>
  <w:style w:type="character" w:styleId="CommentReference">
    <w:name w:val="annotation reference"/>
    <w:basedOn w:val="DefaultParagraphFont"/>
    <w:uiPriority w:val="99"/>
    <w:semiHidden/>
    <w:unhideWhenUsed/>
    <w:rsid w:val="005B50E4"/>
    <w:rPr>
      <w:sz w:val="16"/>
      <w:szCs w:val="16"/>
    </w:rPr>
  </w:style>
  <w:style w:type="paragraph" w:styleId="CommentText">
    <w:name w:val="annotation text"/>
    <w:basedOn w:val="Normal"/>
    <w:link w:val="CommentTextChar"/>
    <w:uiPriority w:val="99"/>
    <w:unhideWhenUsed/>
    <w:rsid w:val="005B50E4"/>
    <w:rPr>
      <w:sz w:val="20"/>
      <w:szCs w:val="20"/>
    </w:rPr>
  </w:style>
  <w:style w:type="character" w:customStyle="1" w:styleId="CommentTextChar">
    <w:name w:val="Comment Text Char"/>
    <w:basedOn w:val="DefaultParagraphFont"/>
    <w:link w:val="CommentText"/>
    <w:uiPriority w:val="99"/>
    <w:rsid w:val="005B50E4"/>
  </w:style>
  <w:style w:type="paragraph" w:styleId="CommentSubject">
    <w:name w:val="annotation subject"/>
    <w:basedOn w:val="CommentText"/>
    <w:next w:val="CommentText"/>
    <w:link w:val="CommentSubjectChar"/>
    <w:uiPriority w:val="99"/>
    <w:semiHidden/>
    <w:unhideWhenUsed/>
    <w:rsid w:val="005B50E4"/>
    <w:rPr>
      <w:b/>
      <w:bCs/>
    </w:rPr>
  </w:style>
  <w:style w:type="character" w:customStyle="1" w:styleId="CommentSubjectChar">
    <w:name w:val="Comment Subject Char"/>
    <w:basedOn w:val="CommentTextChar"/>
    <w:link w:val="CommentSubject"/>
    <w:uiPriority w:val="99"/>
    <w:semiHidden/>
    <w:rsid w:val="005B50E4"/>
    <w:rPr>
      <w:b/>
      <w:bCs/>
    </w:rPr>
  </w:style>
  <w:style w:type="paragraph" w:styleId="NormalWeb">
    <w:name w:val="Normal (Web)"/>
    <w:basedOn w:val="Normal"/>
    <w:uiPriority w:val="99"/>
    <w:semiHidden/>
    <w:unhideWhenUsed/>
    <w:rsid w:val="00E705AE"/>
    <w:rPr>
      <w:rFonts w:eastAsiaTheme="minorHAnsi"/>
    </w:rPr>
  </w:style>
  <w:style w:type="paragraph" w:styleId="FootnoteText">
    <w:name w:val="footnote text"/>
    <w:basedOn w:val="Normal"/>
    <w:link w:val="FootnoteTextChar"/>
    <w:uiPriority w:val="99"/>
    <w:semiHidden/>
    <w:unhideWhenUsed/>
    <w:rsid w:val="00414383"/>
    <w:rPr>
      <w:sz w:val="20"/>
      <w:szCs w:val="20"/>
    </w:rPr>
  </w:style>
  <w:style w:type="character" w:customStyle="1" w:styleId="FootnoteTextChar">
    <w:name w:val="Footnote Text Char"/>
    <w:basedOn w:val="DefaultParagraphFont"/>
    <w:link w:val="FootnoteText"/>
    <w:uiPriority w:val="99"/>
    <w:semiHidden/>
    <w:rsid w:val="00414383"/>
  </w:style>
  <w:style w:type="character" w:styleId="FootnoteReference">
    <w:name w:val="footnote reference"/>
    <w:basedOn w:val="DefaultParagraphFont"/>
    <w:uiPriority w:val="99"/>
    <w:semiHidden/>
    <w:unhideWhenUsed/>
    <w:rsid w:val="00414383"/>
    <w:rPr>
      <w:vertAlign w:val="superscript"/>
    </w:rPr>
  </w:style>
  <w:style w:type="character" w:styleId="Hyperlink">
    <w:name w:val="Hyperlink"/>
    <w:basedOn w:val="DefaultParagraphFont"/>
    <w:uiPriority w:val="99"/>
    <w:unhideWhenUsed/>
    <w:rsid w:val="004143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D9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styleId="ListParagraph">
    <w:name w:val="List Paragraph"/>
    <w:basedOn w:val="Normal"/>
    <w:uiPriority w:val="34"/>
    <w:qFormat/>
    <w:rsid w:val="00CF542E"/>
    <w:pPr>
      <w:spacing w:before="100" w:beforeAutospacing="1" w:after="100" w:afterAutospacing="1"/>
    </w:pPr>
  </w:style>
  <w:style w:type="paragraph" w:styleId="BodyText">
    <w:name w:val="Body Text"/>
    <w:basedOn w:val="Normal"/>
    <w:link w:val="BodyTextChar"/>
    <w:rsid w:val="00CF542E"/>
    <w:pPr>
      <w:spacing w:after="180" w:line="360" w:lineRule="auto"/>
    </w:pPr>
    <w:rPr>
      <w:rFonts w:ascii="Book Antiqua" w:hAnsi="Book Antiqua"/>
      <w:sz w:val="22"/>
      <w:szCs w:val="20"/>
    </w:rPr>
  </w:style>
  <w:style w:type="character" w:customStyle="1" w:styleId="BodyTextChar">
    <w:name w:val="Body Text Char"/>
    <w:basedOn w:val="DefaultParagraphFont"/>
    <w:link w:val="BodyText"/>
    <w:rsid w:val="00CF542E"/>
    <w:rPr>
      <w:rFonts w:ascii="Book Antiqua" w:hAnsi="Book Antiqua"/>
      <w:sz w:val="22"/>
    </w:rPr>
  </w:style>
  <w:style w:type="character" w:styleId="CommentReference">
    <w:name w:val="annotation reference"/>
    <w:basedOn w:val="DefaultParagraphFont"/>
    <w:uiPriority w:val="99"/>
    <w:semiHidden/>
    <w:unhideWhenUsed/>
    <w:rsid w:val="005B50E4"/>
    <w:rPr>
      <w:sz w:val="16"/>
      <w:szCs w:val="16"/>
    </w:rPr>
  </w:style>
  <w:style w:type="paragraph" w:styleId="CommentText">
    <w:name w:val="annotation text"/>
    <w:basedOn w:val="Normal"/>
    <w:link w:val="CommentTextChar"/>
    <w:uiPriority w:val="99"/>
    <w:unhideWhenUsed/>
    <w:rsid w:val="005B50E4"/>
    <w:rPr>
      <w:sz w:val="20"/>
      <w:szCs w:val="20"/>
    </w:rPr>
  </w:style>
  <w:style w:type="character" w:customStyle="1" w:styleId="CommentTextChar">
    <w:name w:val="Comment Text Char"/>
    <w:basedOn w:val="DefaultParagraphFont"/>
    <w:link w:val="CommentText"/>
    <w:uiPriority w:val="99"/>
    <w:rsid w:val="005B50E4"/>
  </w:style>
  <w:style w:type="paragraph" w:styleId="CommentSubject">
    <w:name w:val="annotation subject"/>
    <w:basedOn w:val="CommentText"/>
    <w:next w:val="CommentText"/>
    <w:link w:val="CommentSubjectChar"/>
    <w:uiPriority w:val="99"/>
    <w:semiHidden/>
    <w:unhideWhenUsed/>
    <w:rsid w:val="005B50E4"/>
    <w:rPr>
      <w:b/>
      <w:bCs/>
    </w:rPr>
  </w:style>
  <w:style w:type="character" w:customStyle="1" w:styleId="CommentSubjectChar">
    <w:name w:val="Comment Subject Char"/>
    <w:basedOn w:val="CommentTextChar"/>
    <w:link w:val="CommentSubject"/>
    <w:uiPriority w:val="99"/>
    <w:semiHidden/>
    <w:rsid w:val="005B50E4"/>
    <w:rPr>
      <w:b/>
      <w:bCs/>
    </w:rPr>
  </w:style>
  <w:style w:type="paragraph" w:styleId="NormalWeb">
    <w:name w:val="Normal (Web)"/>
    <w:basedOn w:val="Normal"/>
    <w:uiPriority w:val="99"/>
    <w:semiHidden/>
    <w:unhideWhenUsed/>
    <w:rsid w:val="00E705AE"/>
    <w:rPr>
      <w:rFonts w:eastAsiaTheme="minorHAnsi"/>
    </w:rPr>
  </w:style>
  <w:style w:type="paragraph" w:styleId="FootnoteText">
    <w:name w:val="footnote text"/>
    <w:basedOn w:val="Normal"/>
    <w:link w:val="FootnoteTextChar"/>
    <w:uiPriority w:val="99"/>
    <w:semiHidden/>
    <w:unhideWhenUsed/>
    <w:rsid w:val="00414383"/>
    <w:rPr>
      <w:sz w:val="20"/>
      <w:szCs w:val="20"/>
    </w:rPr>
  </w:style>
  <w:style w:type="character" w:customStyle="1" w:styleId="FootnoteTextChar">
    <w:name w:val="Footnote Text Char"/>
    <w:basedOn w:val="DefaultParagraphFont"/>
    <w:link w:val="FootnoteText"/>
    <w:uiPriority w:val="99"/>
    <w:semiHidden/>
    <w:rsid w:val="00414383"/>
  </w:style>
  <w:style w:type="character" w:styleId="FootnoteReference">
    <w:name w:val="footnote reference"/>
    <w:basedOn w:val="DefaultParagraphFont"/>
    <w:uiPriority w:val="99"/>
    <w:semiHidden/>
    <w:unhideWhenUsed/>
    <w:rsid w:val="00414383"/>
    <w:rPr>
      <w:vertAlign w:val="superscript"/>
    </w:rPr>
  </w:style>
  <w:style w:type="character" w:styleId="Hyperlink">
    <w:name w:val="Hyperlink"/>
    <w:basedOn w:val="DefaultParagraphFont"/>
    <w:uiPriority w:val="99"/>
    <w:unhideWhenUsed/>
    <w:rsid w:val="004143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6783">
      <w:bodyDiv w:val="1"/>
      <w:marLeft w:val="0"/>
      <w:marRight w:val="0"/>
      <w:marTop w:val="0"/>
      <w:marBottom w:val="0"/>
      <w:divBdr>
        <w:top w:val="none" w:sz="0" w:space="0" w:color="auto"/>
        <w:left w:val="none" w:sz="0" w:space="0" w:color="auto"/>
        <w:bottom w:val="none" w:sz="0" w:space="0" w:color="auto"/>
        <w:right w:val="none" w:sz="0" w:space="0" w:color="auto"/>
      </w:divBdr>
    </w:div>
    <w:div w:id="745104205">
      <w:bodyDiv w:val="1"/>
      <w:marLeft w:val="0"/>
      <w:marRight w:val="0"/>
      <w:marTop w:val="0"/>
      <w:marBottom w:val="0"/>
      <w:divBdr>
        <w:top w:val="none" w:sz="0" w:space="0" w:color="auto"/>
        <w:left w:val="none" w:sz="0" w:space="0" w:color="auto"/>
        <w:bottom w:val="none" w:sz="0" w:space="0" w:color="auto"/>
        <w:right w:val="none" w:sz="0" w:space="0" w:color="auto"/>
      </w:divBdr>
    </w:div>
    <w:div w:id="1262761853">
      <w:bodyDiv w:val="1"/>
      <w:marLeft w:val="0"/>
      <w:marRight w:val="0"/>
      <w:marTop w:val="0"/>
      <w:marBottom w:val="0"/>
      <w:divBdr>
        <w:top w:val="none" w:sz="0" w:space="0" w:color="auto"/>
        <w:left w:val="none" w:sz="0" w:space="0" w:color="auto"/>
        <w:bottom w:val="none" w:sz="0" w:space="0" w:color="auto"/>
        <w:right w:val="none" w:sz="0" w:space="0" w:color="auto"/>
      </w:divBdr>
    </w:div>
    <w:div w:id="1548685972">
      <w:bodyDiv w:val="1"/>
      <w:marLeft w:val="0"/>
      <w:marRight w:val="0"/>
      <w:marTop w:val="0"/>
      <w:marBottom w:val="0"/>
      <w:divBdr>
        <w:top w:val="none" w:sz="0" w:space="0" w:color="auto"/>
        <w:left w:val="none" w:sz="0" w:space="0" w:color="auto"/>
        <w:bottom w:val="none" w:sz="0" w:space="0" w:color="auto"/>
        <w:right w:val="none" w:sz="0" w:space="0" w:color="auto"/>
      </w:divBdr>
    </w:div>
    <w:div w:id="1727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8.xls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Excel_Worksheet11.xlsx"/><Relationship Id="rId42" Type="http://schemas.openxmlformats.org/officeDocument/2006/relationships/package" Target="embeddings/Microsoft_Excel_Worksheet15.xlsx"/><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oleObject" Target="embeddings/Microsoft_Excel_97-2003_Worksheet3.xls"/><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4.xls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7.xlsx"/><Relationship Id="rId32" Type="http://schemas.openxmlformats.org/officeDocument/2006/relationships/package" Target="embeddings/Microsoft_Excel_Worksheet10.xlsx"/><Relationship Id="rId37" Type="http://schemas.openxmlformats.org/officeDocument/2006/relationships/image" Target="media/image15.emf"/><Relationship Id="rId40" Type="http://schemas.openxmlformats.org/officeDocument/2006/relationships/package" Target="embeddings/Microsoft_Excel_Worksheet14.xlsx"/><Relationship Id="rId45" Type="http://schemas.openxmlformats.org/officeDocument/2006/relationships/image" Target="media/image19.png"/><Relationship Id="rId53" Type="http://schemas.openxmlformats.org/officeDocument/2006/relationships/oleObject" Target="embeddings/oleObject2.bin"/><Relationship Id="rId58" Type="http://schemas.openxmlformats.org/officeDocument/2006/relationships/image" Target="media/image31.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9.xlsx"/><Relationship Id="rId36" Type="http://schemas.openxmlformats.org/officeDocument/2006/relationships/package" Target="embeddings/Microsoft_Excel_Worksheet12.xlsx"/><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oleObject" Target="embeddings/Microsoft_Excel_97-2003_Worksheet2.xls"/><Relationship Id="rId10" Type="http://schemas.openxmlformats.org/officeDocument/2006/relationships/package" Target="embeddings/Microsoft_Excel_Macro-Enabled_Worksheet1.xlsm"/><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Excel_Worksheet16.xlsx"/><Relationship Id="rId52" Type="http://schemas.openxmlformats.org/officeDocument/2006/relationships/image" Target="media/image26.emf"/><Relationship Id="rId60" Type="http://schemas.openxmlformats.org/officeDocument/2006/relationships/image" Target="media/image33.em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oleObject" Target="embeddings/Microsoft_Excel_97-2003_Worksheet1.xls"/><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3.xlsx"/><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image" Target="media/image27.png"/><Relationship Id="rId62" Type="http://schemas.openxmlformats.org/officeDocument/2006/relationships/image" Target="media/image34.emf"/></Relationships>
</file>

<file path=word/_rels/footnotes.xml.rels><?xml version="1.0" encoding="UTF-8" standalone="yes"?>
<Relationships xmlns="http://schemas.openxmlformats.org/package/2006/relationships"><Relationship Id="rId1" Type="http://schemas.openxmlformats.org/officeDocument/2006/relationships/hyperlink" Target="http://www.journalofaccountancy.com/issues/2001/dec/accountingforassetretirementoblig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EAC6F-322A-405F-9D5B-4749970B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56</Pages>
  <Words>7266</Words>
  <Characters>39517</Characters>
  <Application>Microsoft Office Word</Application>
  <DocSecurity>0</DocSecurity>
  <Lines>329</Lines>
  <Paragraphs>93</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46690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Mock, Joseph</cp:lastModifiedBy>
  <cp:revision>7</cp:revision>
  <cp:lastPrinted>2005-06-11T17:39:00Z</cp:lastPrinted>
  <dcterms:created xsi:type="dcterms:W3CDTF">2016-03-10T18:15:00Z</dcterms:created>
  <dcterms:modified xsi:type="dcterms:W3CDTF">2016-03-10T23:16:00Z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